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2021年度</w:t>
      </w:r>
    </w:p>
    <w:p>
      <w:pPr>
        <w:pStyle w:val="11"/>
        <w:jc w:val="center"/>
        <w:outlineLvl w:val="0"/>
        <w:rPr>
          <w:color w:val="000000" w:themeColor="text1"/>
          <w:sz w:val="84"/>
          <w:szCs w:val="84"/>
        </w:rPr>
      </w:pPr>
      <w:r>
        <w:rPr>
          <w:rFonts w:hint="eastAsia"/>
          <w:color w:val="000000" w:themeColor="text1"/>
          <w:sz w:val="84"/>
          <w:szCs w:val="84"/>
        </w:rPr>
        <w:t>湖南省体育科学研究所</w:t>
      </w:r>
    </w:p>
    <w:p>
      <w:pPr>
        <w:pStyle w:val="11"/>
        <w:jc w:val="center"/>
        <w:rPr>
          <w:sz w:val="84"/>
          <w:szCs w:val="84"/>
        </w:rPr>
      </w:pP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w:t>
      </w:r>
      <w:r>
        <w:rPr>
          <w:rFonts w:hint="eastAsia"/>
          <w:b/>
          <w:sz w:val="36"/>
          <w:szCs w:val="28"/>
          <w:lang w:val="en-US" w:eastAsia="zh-CN"/>
        </w:rPr>
        <w:t xml:space="preserve">  </w:t>
      </w:r>
      <w:r>
        <w:rPr>
          <w:rFonts w:hint="eastAsia"/>
          <w:b/>
          <w:sz w:val="36"/>
          <w:szCs w:val="28"/>
        </w:rPr>
        <w:t>录</w:t>
      </w:r>
    </w:p>
    <w:p>
      <w:pPr>
        <w:pStyle w:val="11"/>
        <w:spacing w:line="500" w:lineRule="exact"/>
        <w:outlineLvl w:val="1"/>
        <w:rPr>
          <w:rFonts w:hAnsi="仿宋_GB2312"/>
          <w:b/>
          <w:color w:val="000000" w:themeColor="text1"/>
          <w:sz w:val="32"/>
          <w:szCs w:val="32"/>
        </w:rPr>
      </w:pPr>
      <w:r>
        <w:rPr>
          <w:rFonts w:hint="eastAsia"/>
          <w:b/>
          <w:color w:val="000000" w:themeColor="text1"/>
          <w:sz w:val="32"/>
          <w:szCs w:val="32"/>
        </w:rPr>
        <w:t>第一部分湖南省体育科学研究所单位概况</w:t>
      </w:r>
      <w:r>
        <w:rPr>
          <w:rFonts w:hint="eastAsia" w:cs="仿宋_GB2312" w:asciiTheme="minorEastAsia" w:hAnsiTheme="minorEastAsia" w:eastAsiaTheme="minorEastAsia"/>
          <w:color w:val="000000" w:themeColor="text1"/>
          <w:sz w:val="32"/>
          <w:szCs w:val="32"/>
        </w:rPr>
        <w:t>........................4</w:t>
      </w:r>
    </w:p>
    <w:p>
      <w:pPr>
        <w:pStyle w:val="11"/>
        <w:spacing w:line="500" w:lineRule="exact"/>
        <w:ind w:firstLine="800" w:firstLineChars="250"/>
        <w:outlineLvl w:val="2"/>
        <w:rPr>
          <w:rFonts w:cs="仿宋_GB2312" w:asciiTheme="minorEastAsia" w:hAnsiTheme="minorEastAsia" w:eastAsiaTheme="minorEastAsia"/>
          <w:color w:val="000000" w:themeColor="text1"/>
          <w:sz w:val="32"/>
          <w:szCs w:val="32"/>
        </w:rPr>
      </w:pPr>
      <w:r>
        <w:rPr>
          <w:rFonts w:cs="仿宋_GB2312" w:asciiTheme="minorEastAsia" w:hAnsiTheme="minorEastAsia" w:eastAsiaTheme="minorEastAsia"/>
          <w:color w:val="000000" w:themeColor="text1"/>
          <w:sz w:val="32"/>
          <w:szCs w:val="32"/>
        </w:rPr>
        <w:t>一、部门职责</w:t>
      </w:r>
      <w:r>
        <w:rPr>
          <w:rFonts w:hint="eastAsia" w:cs="仿宋_GB2312" w:asciiTheme="minorEastAsia" w:hAnsiTheme="minorEastAsia" w:eastAsiaTheme="minorEastAsia"/>
          <w:color w:val="000000" w:themeColor="text1"/>
          <w:sz w:val="32"/>
          <w:szCs w:val="32"/>
        </w:rPr>
        <w:t>...........................................5</w:t>
      </w:r>
    </w:p>
    <w:p>
      <w:pPr>
        <w:pStyle w:val="11"/>
        <w:spacing w:line="500" w:lineRule="exact"/>
        <w:ind w:firstLine="800" w:firstLineChars="250"/>
        <w:outlineLvl w:val="2"/>
        <w:rPr>
          <w:rFonts w:cs="仿宋_GB2312" w:asciiTheme="minorEastAsia" w:hAnsiTheme="minorEastAsia" w:eastAsiaTheme="minorEastAsia"/>
          <w:color w:val="000000" w:themeColor="text1"/>
          <w:sz w:val="32"/>
          <w:szCs w:val="32"/>
        </w:rPr>
      </w:pPr>
      <w:r>
        <w:rPr>
          <w:rFonts w:cs="仿宋_GB2312" w:asciiTheme="minorEastAsia" w:hAnsiTheme="minorEastAsia" w:eastAsiaTheme="minorEastAsia"/>
          <w:color w:val="000000" w:themeColor="text1"/>
          <w:sz w:val="32"/>
          <w:szCs w:val="32"/>
        </w:rPr>
        <w:t>二、机构设置</w:t>
      </w:r>
      <w:r>
        <w:rPr>
          <w:rFonts w:hint="eastAsia" w:cs="仿宋_GB2312" w:asciiTheme="minorEastAsia" w:hAnsiTheme="minorEastAsia" w:eastAsiaTheme="minorEastAsia"/>
          <w:color w:val="000000" w:themeColor="text1"/>
          <w:sz w:val="32"/>
          <w:szCs w:val="32"/>
        </w:rPr>
        <w:t>...........................................5</w:t>
      </w:r>
    </w:p>
    <w:p>
      <w:pPr>
        <w:pStyle w:val="11"/>
        <w:spacing w:line="500" w:lineRule="exact"/>
        <w:outlineLvl w:val="1"/>
        <w:rPr>
          <w:rFonts w:cs="仿宋_GB2312" w:asciiTheme="minorEastAsia" w:hAnsiTheme="minorEastAsia" w:eastAsiaTheme="minorEastAsia"/>
          <w:color w:val="000000" w:themeColor="text1"/>
          <w:sz w:val="32"/>
          <w:szCs w:val="32"/>
        </w:rPr>
      </w:pPr>
      <w:r>
        <w:rPr>
          <w:rFonts w:hint="eastAsia" w:hAnsi="仿宋_GB2312"/>
          <w:b/>
          <w:color w:val="000000" w:themeColor="text1"/>
          <w:sz w:val="32"/>
          <w:szCs w:val="32"/>
        </w:rPr>
        <w:t>第二部分</w:t>
      </w:r>
      <w:r>
        <w:rPr>
          <w:rFonts w:hAnsi="仿宋_GB2312"/>
          <w:b/>
          <w:color w:val="000000" w:themeColor="text1"/>
          <w:sz w:val="32"/>
          <w:szCs w:val="32"/>
        </w:rPr>
        <w:t>20</w:t>
      </w:r>
      <w:r>
        <w:rPr>
          <w:rFonts w:hint="eastAsia" w:hAnsi="仿宋_GB2312"/>
          <w:b/>
          <w:color w:val="000000" w:themeColor="text1"/>
          <w:sz w:val="32"/>
          <w:szCs w:val="32"/>
        </w:rPr>
        <w:t>21年度部门决算表.....</w:t>
      </w:r>
      <w:r>
        <w:rPr>
          <w:rFonts w:hint="eastAsia" w:cs="仿宋_GB2312" w:asciiTheme="minorEastAsia" w:hAnsiTheme="minorEastAsia" w:eastAsiaTheme="minorEastAsia"/>
          <w:color w:val="000000" w:themeColor="text1"/>
          <w:sz w:val="32"/>
          <w:szCs w:val="32"/>
        </w:rPr>
        <w:t>.............................6</w:t>
      </w:r>
    </w:p>
    <w:p>
      <w:pPr>
        <w:pStyle w:val="11"/>
        <w:spacing w:line="500" w:lineRule="exact"/>
        <w:ind w:firstLine="800" w:firstLineChars="250"/>
        <w:outlineLvl w:val="2"/>
        <w:rPr>
          <w:rFonts w:cs="仿宋_GB2312" w:asciiTheme="minorEastAsia" w:hAnsiTheme="minorEastAsia" w:eastAsiaTheme="minorEastAsia"/>
          <w:color w:val="000000" w:themeColor="text1"/>
          <w:sz w:val="32"/>
          <w:szCs w:val="32"/>
        </w:rPr>
      </w:pPr>
      <w:r>
        <w:rPr>
          <w:rFonts w:cs="仿宋_GB2312" w:asciiTheme="minorEastAsia" w:hAnsiTheme="minorEastAsia" w:eastAsiaTheme="minorEastAsia"/>
          <w:color w:val="000000" w:themeColor="text1"/>
          <w:sz w:val="32"/>
          <w:szCs w:val="32"/>
        </w:rPr>
        <w:t>一、收入支出决算总表</w:t>
      </w:r>
      <w:r>
        <w:rPr>
          <w:rFonts w:hint="eastAsia" w:cs="仿宋_GB2312" w:asciiTheme="minorEastAsia" w:hAnsiTheme="minorEastAsia" w:eastAsiaTheme="minorEastAsia"/>
          <w:color w:val="000000" w:themeColor="text1"/>
          <w:sz w:val="32"/>
          <w:szCs w:val="32"/>
        </w:rPr>
        <w:t>...................................7</w:t>
      </w:r>
    </w:p>
    <w:p>
      <w:pPr>
        <w:pStyle w:val="11"/>
        <w:spacing w:line="500" w:lineRule="exact"/>
        <w:ind w:firstLine="800" w:firstLineChars="250"/>
        <w:outlineLvl w:val="2"/>
        <w:rPr>
          <w:rFonts w:hint="eastAsia" w:cs="仿宋_GB2312" w:asciiTheme="minorEastAsia" w:hAnsiTheme="minorEastAsia" w:eastAsiaTheme="minorEastAsia"/>
          <w:color w:val="000000" w:themeColor="text1"/>
          <w:sz w:val="32"/>
          <w:szCs w:val="32"/>
          <w:lang w:eastAsia="zh-CN"/>
        </w:rPr>
      </w:pPr>
      <w:r>
        <w:rPr>
          <w:rFonts w:cs="仿宋_GB2312" w:asciiTheme="minorEastAsia" w:hAnsiTheme="minorEastAsia" w:eastAsiaTheme="minorEastAsia"/>
          <w:color w:val="000000" w:themeColor="text1"/>
          <w:sz w:val="32"/>
          <w:szCs w:val="32"/>
        </w:rPr>
        <w:t>二、收入决算表</w:t>
      </w:r>
      <w:r>
        <w:rPr>
          <w:rFonts w:hint="eastAsia" w:cs="仿宋_GB2312" w:asciiTheme="minorEastAsia" w:hAnsiTheme="minorEastAsia" w:eastAsiaTheme="minorEastAsia"/>
          <w:color w:val="000000" w:themeColor="text1"/>
          <w:sz w:val="32"/>
          <w:szCs w:val="32"/>
        </w:rPr>
        <w:t>.........................................</w:t>
      </w:r>
      <w:r>
        <w:rPr>
          <w:rFonts w:hint="eastAsia" w:cs="仿宋_GB2312" w:asciiTheme="minorEastAsia" w:hAnsiTheme="minorEastAsia" w:eastAsiaTheme="minorEastAsia"/>
          <w:color w:val="000000" w:themeColor="text1"/>
          <w:sz w:val="32"/>
          <w:szCs w:val="32"/>
          <w:lang w:val="en-US" w:eastAsia="zh-CN"/>
        </w:rPr>
        <w:t>9</w:t>
      </w:r>
    </w:p>
    <w:p>
      <w:pPr>
        <w:pStyle w:val="11"/>
        <w:spacing w:line="500" w:lineRule="exact"/>
        <w:ind w:firstLine="800" w:firstLineChars="250"/>
        <w:outlineLvl w:val="2"/>
        <w:rPr>
          <w:rFonts w:hint="default" w:cs="仿宋_GB2312" w:asciiTheme="minorEastAsia" w:hAnsiTheme="minorEastAsia" w:eastAsiaTheme="minorEastAsia"/>
          <w:color w:val="000000" w:themeColor="text1"/>
          <w:sz w:val="32"/>
          <w:szCs w:val="32"/>
          <w:lang w:val="en-US" w:eastAsia="zh-CN"/>
        </w:rPr>
      </w:pPr>
      <w:r>
        <w:rPr>
          <w:rFonts w:cs="仿宋_GB2312" w:asciiTheme="minorEastAsia" w:hAnsiTheme="minorEastAsia" w:eastAsiaTheme="minorEastAsia"/>
          <w:color w:val="000000" w:themeColor="text1"/>
          <w:sz w:val="32"/>
          <w:szCs w:val="32"/>
        </w:rPr>
        <w:t>三、支出决算表</w:t>
      </w:r>
      <w:r>
        <w:rPr>
          <w:rFonts w:hint="eastAsia" w:cs="仿宋_GB2312" w:asciiTheme="minorEastAsia" w:hAnsiTheme="minorEastAsia" w:eastAsiaTheme="minorEastAsia"/>
          <w:color w:val="000000" w:themeColor="text1"/>
          <w:sz w:val="32"/>
          <w:szCs w:val="32"/>
        </w:rPr>
        <w:t>........................................</w:t>
      </w:r>
      <w:r>
        <w:rPr>
          <w:rFonts w:hint="eastAsia" w:cs="仿宋_GB2312" w:asciiTheme="minorEastAsia" w:hAnsiTheme="minorEastAsia" w:eastAsiaTheme="minorEastAsia"/>
          <w:color w:val="000000" w:themeColor="text1"/>
          <w:sz w:val="32"/>
          <w:szCs w:val="32"/>
          <w:lang w:val="en-US" w:eastAsia="zh-CN"/>
        </w:rPr>
        <w:t>11</w:t>
      </w:r>
    </w:p>
    <w:p>
      <w:pPr>
        <w:pStyle w:val="11"/>
        <w:spacing w:line="500" w:lineRule="exact"/>
        <w:ind w:firstLine="800" w:firstLineChars="250"/>
        <w:outlineLvl w:val="2"/>
        <w:rPr>
          <w:rFonts w:hint="eastAsia" w:cs="仿宋_GB2312" w:asciiTheme="minorEastAsia" w:hAnsiTheme="minorEastAsia" w:eastAsiaTheme="minorEastAsia"/>
          <w:color w:val="000000" w:themeColor="text1"/>
          <w:sz w:val="32"/>
          <w:szCs w:val="32"/>
          <w:lang w:eastAsia="zh-CN"/>
        </w:rPr>
      </w:pPr>
      <w:r>
        <w:rPr>
          <w:rFonts w:cs="仿宋_GB2312" w:asciiTheme="minorEastAsia" w:hAnsiTheme="minorEastAsia" w:eastAsiaTheme="minorEastAsia"/>
          <w:color w:val="000000" w:themeColor="text1"/>
          <w:sz w:val="32"/>
          <w:szCs w:val="32"/>
        </w:rPr>
        <w:t>四、财政拨款收入支出决算总表</w:t>
      </w:r>
      <w:r>
        <w:rPr>
          <w:rFonts w:hint="eastAsia" w:cs="仿宋_GB2312" w:asciiTheme="minorEastAsia" w:hAnsiTheme="minorEastAsia" w:eastAsiaTheme="minorEastAsia"/>
          <w:color w:val="000000" w:themeColor="text1"/>
          <w:sz w:val="32"/>
          <w:szCs w:val="32"/>
        </w:rPr>
        <w:t>..........................1</w:t>
      </w:r>
      <w:r>
        <w:rPr>
          <w:rFonts w:hint="eastAsia" w:cs="仿宋_GB2312" w:asciiTheme="minorEastAsia" w:hAnsiTheme="minorEastAsia" w:eastAsiaTheme="minorEastAsia"/>
          <w:color w:val="000000" w:themeColor="text1"/>
          <w:sz w:val="32"/>
          <w:szCs w:val="32"/>
          <w:lang w:val="en-US" w:eastAsia="zh-CN"/>
        </w:rPr>
        <w:t>3</w:t>
      </w:r>
    </w:p>
    <w:p>
      <w:pPr>
        <w:pStyle w:val="11"/>
        <w:spacing w:line="500" w:lineRule="exact"/>
        <w:ind w:firstLine="800" w:firstLineChars="250"/>
        <w:outlineLvl w:val="2"/>
        <w:rPr>
          <w:rFonts w:hint="eastAsia" w:cs="仿宋_GB2312" w:asciiTheme="minorEastAsia" w:hAnsiTheme="minorEastAsia" w:eastAsiaTheme="minorEastAsia"/>
          <w:color w:val="000000" w:themeColor="text1"/>
          <w:sz w:val="32"/>
          <w:szCs w:val="32"/>
          <w:lang w:val="en-US" w:eastAsia="zh-CN"/>
        </w:rPr>
      </w:pPr>
      <w:r>
        <w:rPr>
          <w:rFonts w:cs="仿宋_GB2312" w:asciiTheme="minorEastAsia" w:hAnsiTheme="minorEastAsia" w:eastAsiaTheme="minorEastAsia"/>
          <w:color w:val="000000" w:themeColor="text1"/>
          <w:sz w:val="32"/>
          <w:szCs w:val="32"/>
        </w:rPr>
        <w:t>五、一般公共预算财政拨款支出决算表</w:t>
      </w:r>
      <w:r>
        <w:rPr>
          <w:rFonts w:hint="eastAsia" w:cs="仿宋_GB2312" w:asciiTheme="minorEastAsia" w:hAnsiTheme="minorEastAsia" w:eastAsiaTheme="minorEastAsia"/>
          <w:color w:val="000000" w:themeColor="text1"/>
          <w:sz w:val="32"/>
          <w:szCs w:val="32"/>
        </w:rPr>
        <w:t>....................1</w:t>
      </w:r>
      <w:r>
        <w:rPr>
          <w:rFonts w:hint="eastAsia" w:cs="仿宋_GB2312" w:asciiTheme="minorEastAsia" w:hAnsiTheme="minorEastAsia" w:eastAsiaTheme="minorEastAsia"/>
          <w:color w:val="000000" w:themeColor="text1"/>
          <w:sz w:val="32"/>
          <w:szCs w:val="32"/>
          <w:lang w:val="en-US" w:eastAsia="zh-CN"/>
        </w:rPr>
        <w:t>6</w:t>
      </w:r>
    </w:p>
    <w:p>
      <w:pPr>
        <w:pStyle w:val="11"/>
        <w:spacing w:line="500" w:lineRule="exact"/>
        <w:ind w:firstLine="800" w:firstLineChars="250"/>
        <w:outlineLvl w:val="2"/>
        <w:rPr>
          <w:rFonts w:hint="eastAsia" w:cs="仿宋_GB2312" w:asciiTheme="minorEastAsia" w:hAnsiTheme="minorEastAsia" w:eastAsiaTheme="minorEastAsia"/>
          <w:color w:val="000000" w:themeColor="text1"/>
          <w:sz w:val="32"/>
          <w:szCs w:val="32"/>
          <w:lang w:val="en-US" w:eastAsia="zh-CN"/>
        </w:rPr>
      </w:pPr>
      <w:r>
        <w:rPr>
          <w:rFonts w:cs="仿宋_GB2312" w:asciiTheme="minorEastAsia" w:hAnsiTheme="minorEastAsia" w:eastAsiaTheme="minorEastAsia"/>
          <w:color w:val="000000" w:themeColor="text1"/>
          <w:sz w:val="32"/>
          <w:szCs w:val="32"/>
        </w:rPr>
        <w:t>六、一般公共预算财政拨款基本支出决算表</w:t>
      </w:r>
      <w:r>
        <w:rPr>
          <w:rFonts w:hint="eastAsia" w:cs="仿宋_GB2312" w:asciiTheme="minorEastAsia" w:hAnsiTheme="minorEastAsia" w:eastAsiaTheme="minorEastAsia"/>
          <w:color w:val="000000" w:themeColor="text1"/>
          <w:sz w:val="32"/>
          <w:szCs w:val="32"/>
        </w:rPr>
        <w:t>................1</w:t>
      </w:r>
      <w:r>
        <w:rPr>
          <w:rFonts w:hint="eastAsia" w:cs="仿宋_GB2312" w:asciiTheme="minorEastAsia" w:hAnsiTheme="minorEastAsia" w:eastAsiaTheme="minorEastAsia"/>
          <w:color w:val="000000" w:themeColor="text1"/>
          <w:sz w:val="32"/>
          <w:szCs w:val="32"/>
          <w:lang w:val="en-US" w:eastAsia="zh-CN"/>
        </w:rPr>
        <w:t>7</w:t>
      </w:r>
    </w:p>
    <w:p>
      <w:pPr>
        <w:pStyle w:val="11"/>
        <w:spacing w:line="500" w:lineRule="exact"/>
        <w:ind w:firstLine="800" w:firstLineChars="250"/>
        <w:outlineLvl w:val="2"/>
        <w:rPr>
          <w:rFonts w:hint="eastAsia" w:cs="仿宋_GB2312" w:asciiTheme="minorEastAsia" w:hAnsiTheme="minorEastAsia" w:eastAsiaTheme="minorEastAsia"/>
          <w:color w:val="000000" w:themeColor="text1"/>
          <w:sz w:val="32"/>
          <w:szCs w:val="32"/>
          <w:lang w:eastAsia="zh-CN"/>
        </w:rPr>
      </w:pPr>
      <w:r>
        <w:rPr>
          <w:rFonts w:cs="仿宋_GB2312" w:asciiTheme="minorEastAsia" w:hAnsiTheme="minorEastAsia" w:eastAsiaTheme="minorEastAsia"/>
          <w:color w:val="000000" w:themeColor="text1"/>
          <w:sz w:val="32"/>
          <w:szCs w:val="32"/>
        </w:rPr>
        <w:t>七、一般公共预算财政拨款“三公”经费支出决算表</w:t>
      </w:r>
      <w:r>
        <w:rPr>
          <w:rFonts w:hint="eastAsia" w:cs="仿宋_GB2312" w:asciiTheme="minorEastAsia" w:hAnsiTheme="minorEastAsia" w:eastAsiaTheme="minorEastAsia"/>
          <w:color w:val="000000" w:themeColor="text1"/>
          <w:sz w:val="32"/>
          <w:szCs w:val="32"/>
        </w:rPr>
        <w:t>........1</w:t>
      </w:r>
      <w:r>
        <w:rPr>
          <w:rFonts w:hint="eastAsia" w:cs="仿宋_GB2312" w:asciiTheme="minorEastAsia" w:hAnsiTheme="minorEastAsia" w:eastAsiaTheme="minorEastAsia"/>
          <w:color w:val="000000" w:themeColor="text1"/>
          <w:sz w:val="32"/>
          <w:szCs w:val="32"/>
          <w:lang w:val="en-US" w:eastAsia="zh-CN"/>
        </w:rPr>
        <w:t>9</w:t>
      </w:r>
    </w:p>
    <w:p>
      <w:pPr>
        <w:pStyle w:val="11"/>
        <w:spacing w:line="500" w:lineRule="exact"/>
        <w:ind w:firstLine="800" w:firstLineChars="250"/>
        <w:outlineLvl w:val="2"/>
        <w:rPr>
          <w:rFonts w:hint="default" w:cs="仿宋_GB2312" w:asciiTheme="minorEastAsia" w:hAnsiTheme="minorEastAsia" w:eastAsiaTheme="minorEastAsia"/>
          <w:color w:val="000000" w:themeColor="text1"/>
          <w:sz w:val="32"/>
          <w:szCs w:val="32"/>
          <w:lang w:val="en-US" w:eastAsia="zh-CN"/>
        </w:rPr>
      </w:pPr>
      <w:r>
        <w:rPr>
          <w:rFonts w:cs="仿宋_GB2312" w:asciiTheme="minorEastAsia" w:hAnsiTheme="minorEastAsia" w:eastAsiaTheme="minorEastAsia"/>
          <w:color w:val="000000" w:themeColor="text1"/>
          <w:sz w:val="32"/>
          <w:szCs w:val="32"/>
        </w:rPr>
        <w:t>八、政府性基金预算财政拨款收入支出决算表</w:t>
      </w:r>
      <w:r>
        <w:rPr>
          <w:rFonts w:hint="eastAsia" w:cs="仿宋_GB2312" w:asciiTheme="minorEastAsia" w:hAnsiTheme="minorEastAsia" w:eastAsiaTheme="minorEastAsia"/>
          <w:color w:val="000000" w:themeColor="text1"/>
          <w:sz w:val="32"/>
          <w:szCs w:val="32"/>
        </w:rPr>
        <w:t>..............</w:t>
      </w:r>
      <w:r>
        <w:rPr>
          <w:rFonts w:hint="eastAsia" w:cs="仿宋_GB2312" w:asciiTheme="minorEastAsia" w:hAnsiTheme="minorEastAsia" w:eastAsiaTheme="minorEastAsia"/>
          <w:color w:val="000000" w:themeColor="text1"/>
          <w:sz w:val="32"/>
          <w:szCs w:val="32"/>
          <w:lang w:val="en-US" w:eastAsia="zh-CN"/>
        </w:rPr>
        <w:t>20</w:t>
      </w:r>
    </w:p>
    <w:p>
      <w:pPr>
        <w:pStyle w:val="11"/>
        <w:spacing w:line="500" w:lineRule="exact"/>
        <w:ind w:firstLine="800" w:firstLineChars="250"/>
        <w:outlineLvl w:val="2"/>
        <w:rPr>
          <w:rFonts w:hint="default" w:cs="仿宋_GB2312" w:asciiTheme="minorEastAsia" w:hAnsiTheme="minorEastAsia" w:eastAsiaTheme="minorEastAsia"/>
          <w:color w:val="000000" w:themeColor="text1"/>
          <w:sz w:val="32"/>
          <w:szCs w:val="32"/>
          <w:lang w:val="en-US" w:eastAsia="zh-CN"/>
        </w:rPr>
      </w:pPr>
      <w:r>
        <w:rPr>
          <w:rFonts w:hint="eastAsia" w:cs="仿宋_GB2312" w:asciiTheme="minorEastAsia" w:hAnsiTheme="minorEastAsia" w:eastAsiaTheme="minorEastAsia"/>
          <w:color w:val="000000" w:themeColor="text1"/>
          <w:sz w:val="32"/>
          <w:szCs w:val="32"/>
        </w:rPr>
        <w:t>九、国有资本经营预算财政拨款支出决算表................</w:t>
      </w:r>
      <w:r>
        <w:rPr>
          <w:rFonts w:hint="eastAsia" w:cs="仿宋_GB2312" w:asciiTheme="minorEastAsia" w:hAnsiTheme="minorEastAsia" w:eastAsiaTheme="minorEastAsia"/>
          <w:color w:val="000000" w:themeColor="text1"/>
          <w:sz w:val="32"/>
          <w:szCs w:val="32"/>
          <w:lang w:val="en-US" w:eastAsia="zh-CN"/>
        </w:rPr>
        <w:t>21</w:t>
      </w:r>
    </w:p>
    <w:p>
      <w:pPr>
        <w:pStyle w:val="11"/>
        <w:spacing w:line="500" w:lineRule="exact"/>
        <w:outlineLvl w:val="1"/>
        <w:rPr>
          <w:rFonts w:hint="default" w:ascii="仿宋_GB2312" w:hAnsi="仿宋_GB2312" w:cs="仿宋_GB2312" w:eastAsiaTheme="minorEastAsia"/>
          <w:b/>
          <w:color w:val="000000" w:themeColor="text1"/>
          <w:sz w:val="32"/>
          <w:szCs w:val="32"/>
          <w:lang w:val="en-US" w:eastAsia="zh-CN"/>
        </w:rPr>
      </w:pPr>
      <w:r>
        <w:rPr>
          <w:rFonts w:hint="eastAsia" w:hAnsi="仿宋_GB2312"/>
          <w:b/>
          <w:color w:val="000000" w:themeColor="text1"/>
          <w:sz w:val="32"/>
          <w:szCs w:val="32"/>
        </w:rPr>
        <w:t>第三部分</w:t>
      </w:r>
      <w:r>
        <w:rPr>
          <w:rFonts w:hAnsi="仿宋_GB2312"/>
          <w:b/>
          <w:color w:val="000000" w:themeColor="text1"/>
          <w:sz w:val="32"/>
          <w:szCs w:val="32"/>
        </w:rPr>
        <w:t>20</w:t>
      </w:r>
      <w:r>
        <w:rPr>
          <w:rFonts w:hint="eastAsia" w:hAnsi="仿宋_GB2312"/>
          <w:b/>
          <w:color w:val="000000" w:themeColor="text1"/>
          <w:sz w:val="32"/>
          <w:szCs w:val="32"/>
        </w:rPr>
        <w:t>21年度部门决算情况说明.</w:t>
      </w:r>
      <w:r>
        <w:rPr>
          <w:rFonts w:hint="eastAsia" w:cs="仿宋_GB2312" w:asciiTheme="minorEastAsia" w:hAnsiTheme="minorEastAsia" w:eastAsiaTheme="minorEastAsia"/>
          <w:color w:val="000000" w:themeColor="text1"/>
          <w:sz w:val="32"/>
          <w:szCs w:val="32"/>
        </w:rPr>
        <w:t>..........................</w:t>
      </w:r>
      <w:r>
        <w:rPr>
          <w:rFonts w:hint="eastAsia" w:cs="仿宋_GB2312" w:asciiTheme="minorEastAsia" w:hAnsiTheme="minorEastAsia" w:eastAsiaTheme="minorEastAsia"/>
          <w:color w:val="000000" w:themeColor="text1"/>
          <w:sz w:val="32"/>
          <w:szCs w:val="32"/>
          <w:lang w:val="en-US" w:eastAsia="zh-CN"/>
        </w:rPr>
        <w:t>22</w:t>
      </w:r>
    </w:p>
    <w:p>
      <w:pPr>
        <w:pStyle w:val="11"/>
        <w:spacing w:line="500" w:lineRule="exact"/>
        <w:ind w:firstLine="800" w:firstLineChars="250"/>
        <w:outlineLvl w:val="2"/>
        <w:rPr>
          <w:rFonts w:hint="default" w:cs="仿宋_GB2312" w:asciiTheme="minorEastAsia" w:hAnsiTheme="minorEastAsia" w:eastAsiaTheme="minorEastAsia"/>
          <w:color w:val="000000" w:themeColor="text1"/>
          <w:sz w:val="32"/>
          <w:szCs w:val="32"/>
          <w:lang w:val="en-US" w:eastAsia="zh-CN"/>
        </w:rPr>
      </w:pPr>
      <w:r>
        <w:rPr>
          <w:rFonts w:cs="仿宋_GB2312" w:asciiTheme="minorEastAsia" w:hAnsiTheme="minorEastAsia" w:eastAsiaTheme="minorEastAsia"/>
          <w:color w:val="000000" w:themeColor="text1"/>
          <w:sz w:val="32"/>
          <w:szCs w:val="32"/>
        </w:rPr>
        <w:t>一、收入支出决算总体情况说明</w:t>
      </w:r>
      <w:r>
        <w:rPr>
          <w:rFonts w:hint="eastAsia" w:cs="仿宋_GB2312" w:asciiTheme="minorEastAsia" w:hAnsiTheme="minorEastAsia" w:eastAsiaTheme="minorEastAsia"/>
          <w:color w:val="000000" w:themeColor="text1"/>
          <w:sz w:val="32"/>
          <w:szCs w:val="32"/>
        </w:rPr>
        <w:t>..........................</w:t>
      </w:r>
      <w:r>
        <w:rPr>
          <w:rFonts w:hint="eastAsia" w:cs="仿宋_GB2312" w:asciiTheme="minorEastAsia" w:hAnsiTheme="minorEastAsia" w:eastAsiaTheme="minorEastAsia"/>
          <w:color w:val="000000" w:themeColor="text1"/>
          <w:sz w:val="32"/>
          <w:szCs w:val="32"/>
          <w:lang w:val="en-US" w:eastAsia="zh-CN"/>
        </w:rPr>
        <w:t>23</w:t>
      </w:r>
    </w:p>
    <w:p>
      <w:pPr>
        <w:spacing w:line="500" w:lineRule="exact"/>
        <w:ind w:firstLine="800" w:firstLineChars="250"/>
        <w:jc w:val="left"/>
        <w:outlineLvl w:val="2"/>
        <w:rPr>
          <w:rFonts w:hint="default" w:ascii="仿宋_GB2312" w:hAnsi="仿宋_GB2312" w:cs="仿宋_GB2312" w:eastAsiaTheme="minorEastAsia"/>
          <w:color w:val="000000" w:themeColor="text1"/>
          <w:sz w:val="32"/>
          <w:szCs w:val="32"/>
          <w:lang w:val="en-US" w:eastAsia="zh-CN"/>
        </w:rPr>
      </w:pPr>
      <w:r>
        <w:rPr>
          <w:rFonts w:ascii="仿宋_GB2312" w:hAnsi="仿宋_GB2312" w:cs="仿宋_GB2312"/>
          <w:color w:val="000000" w:themeColor="text1"/>
          <w:sz w:val="32"/>
          <w:szCs w:val="32"/>
        </w:rPr>
        <w:t>二、收入决算情况说明</w:t>
      </w:r>
      <w:r>
        <w:rPr>
          <w:rFonts w:hint="eastAsia" w:ascii="仿宋_GB2312" w:hAnsi="仿宋_GB2312" w:cs="仿宋_GB2312"/>
          <w:color w:val="000000" w:themeColor="text1"/>
          <w:sz w:val="32"/>
          <w:szCs w:val="32"/>
        </w:rPr>
        <w:t>..................................</w:t>
      </w:r>
      <w:r>
        <w:rPr>
          <w:rFonts w:hint="eastAsia" w:ascii="仿宋_GB2312" w:hAnsi="仿宋_GB2312" w:cs="仿宋_GB2312"/>
          <w:color w:val="000000" w:themeColor="text1"/>
          <w:sz w:val="32"/>
          <w:szCs w:val="32"/>
          <w:lang w:val="en-US" w:eastAsia="zh-CN"/>
        </w:rPr>
        <w:t>23</w:t>
      </w:r>
    </w:p>
    <w:p>
      <w:pPr>
        <w:autoSpaceDE w:val="0"/>
        <w:autoSpaceDN w:val="0"/>
        <w:adjustRightInd w:val="0"/>
        <w:spacing w:line="500" w:lineRule="exact"/>
        <w:ind w:firstLine="800" w:firstLineChars="250"/>
        <w:jc w:val="left"/>
        <w:outlineLvl w:val="2"/>
        <w:rPr>
          <w:rFonts w:hint="eastAsia" w:ascii="仿宋_GB2312" w:hAnsi="仿宋_GB2312" w:cs="仿宋_GB2312"/>
          <w:color w:val="000000" w:themeColor="text1"/>
          <w:kern w:val="0"/>
          <w:sz w:val="32"/>
          <w:szCs w:val="32"/>
          <w:lang w:val="en-US" w:eastAsia="zh-CN"/>
        </w:rPr>
      </w:pPr>
      <w:r>
        <w:rPr>
          <w:rFonts w:ascii="仿宋_GB2312" w:hAnsi="仿宋_GB2312" w:cs="仿宋_GB2312"/>
          <w:color w:val="000000" w:themeColor="text1"/>
          <w:kern w:val="0"/>
          <w:sz w:val="32"/>
          <w:szCs w:val="32"/>
        </w:rPr>
        <w:t>三、支出决算情况说明</w:t>
      </w:r>
      <w:r>
        <w:rPr>
          <w:rFonts w:hint="eastAsia" w:ascii="仿宋_GB2312" w:hAnsi="仿宋_GB2312" w:cs="仿宋_GB2312"/>
          <w:color w:val="000000" w:themeColor="text1"/>
          <w:kern w:val="0"/>
          <w:sz w:val="32"/>
          <w:szCs w:val="32"/>
        </w:rPr>
        <w:t>..................................</w:t>
      </w:r>
      <w:r>
        <w:rPr>
          <w:rFonts w:hint="eastAsia" w:ascii="仿宋_GB2312" w:hAnsi="仿宋_GB2312" w:cs="仿宋_GB2312"/>
          <w:color w:val="000000" w:themeColor="text1"/>
          <w:kern w:val="0"/>
          <w:sz w:val="32"/>
          <w:szCs w:val="32"/>
          <w:lang w:val="en-US" w:eastAsia="zh-CN"/>
        </w:rPr>
        <w:t>23</w:t>
      </w:r>
    </w:p>
    <w:p>
      <w:pPr>
        <w:autoSpaceDE w:val="0"/>
        <w:autoSpaceDN w:val="0"/>
        <w:adjustRightInd w:val="0"/>
        <w:spacing w:line="500" w:lineRule="exact"/>
        <w:ind w:firstLine="800" w:firstLineChars="250"/>
        <w:jc w:val="left"/>
        <w:outlineLvl w:val="2"/>
        <w:rPr>
          <w:rFonts w:hint="default" w:ascii="仿宋_GB2312" w:hAnsi="仿宋_GB2312" w:cs="仿宋_GB2312" w:eastAsiaTheme="minorEastAsia"/>
          <w:color w:val="000000" w:themeColor="text1"/>
          <w:kern w:val="0"/>
          <w:sz w:val="32"/>
          <w:szCs w:val="32"/>
          <w:lang w:val="en-US" w:eastAsia="zh-CN"/>
        </w:rPr>
      </w:pPr>
      <w:r>
        <w:rPr>
          <w:rFonts w:ascii="仿宋_GB2312" w:hAnsi="仿宋_GB2312" w:cs="仿宋_GB2312"/>
          <w:color w:val="000000" w:themeColor="text1"/>
          <w:kern w:val="0"/>
          <w:sz w:val="32"/>
          <w:szCs w:val="32"/>
        </w:rPr>
        <w:t>四、财政拨款收入支出决算总体情况说明</w:t>
      </w:r>
      <w:r>
        <w:rPr>
          <w:rFonts w:hint="eastAsia" w:ascii="仿宋_GB2312" w:hAnsi="仿宋_GB2312" w:cs="仿宋_GB2312"/>
          <w:color w:val="000000" w:themeColor="text1"/>
          <w:kern w:val="0"/>
          <w:sz w:val="32"/>
          <w:szCs w:val="32"/>
        </w:rPr>
        <w:t>..................</w:t>
      </w:r>
      <w:r>
        <w:rPr>
          <w:rFonts w:hint="eastAsia" w:ascii="仿宋_GB2312" w:hAnsi="仿宋_GB2312" w:cs="仿宋_GB2312"/>
          <w:color w:val="000000" w:themeColor="text1"/>
          <w:kern w:val="0"/>
          <w:sz w:val="32"/>
          <w:szCs w:val="32"/>
          <w:lang w:val="en-US" w:eastAsia="zh-CN"/>
        </w:rPr>
        <w:t>23</w:t>
      </w:r>
    </w:p>
    <w:p>
      <w:pPr>
        <w:autoSpaceDE w:val="0"/>
        <w:autoSpaceDN w:val="0"/>
        <w:adjustRightInd w:val="0"/>
        <w:spacing w:line="500" w:lineRule="exact"/>
        <w:ind w:firstLine="800" w:firstLineChars="250"/>
        <w:jc w:val="left"/>
        <w:outlineLvl w:val="2"/>
        <w:rPr>
          <w:rFonts w:hint="default" w:ascii="仿宋_GB2312" w:hAnsi="仿宋_GB2312" w:cs="仿宋_GB2312" w:eastAsiaTheme="minorEastAsia"/>
          <w:color w:val="000000" w:themeColor="text1"/>
          <w:kern w:val="0"/>
          <w:sz w:val="32"/>
          <w:szCs w:val="32"/>
          <w:lang w:val="en-US" w:eastAsia="zh-CN"/>
        </w:rPr>
      </w:pPr>
      <w:r>
        <w:rPr>
          <w:rFonts w:ascii="仿宋_GB2312" w:hAnsi="仿宋_GB2312" w:cs="仿宋_GB2312"/>
          <w:color w:val="000000" w:themeColor="text1"/>
          <w:kern w:val="0"/>
          <w:sz w:val="32"/>
          <w:szCs w:val="32"/>
        </w:rPr>
        <w:t>五、一般公共预算财政拨款支出决算情况说明</w:t>
      </w:r>
      <w:r>
        <w:rPr>
          <w:rFonts w:hint="eastAsia" w:ascii="仿宋_GB2312" w:hAnsi="仿宋_GB2312" w:cs="仿宋_GB2312"/>
          <w:color w:val="000000" w:themeColor="text1"/>
          <w:kern w:val="0"/>
          <w:sz w:val="32"/>
          <w:szCs w:val="32"/>
        </w:rPr>
        <w:t>..............</w:t>
      </w:r>
      <w:r>
        <w:rPr>
          <w:rFonts w:hint="eastAsia" w:ascii="仿宋_GB2312" w:hAnsi="仿宋_GB2312" w:cs="仿宋_GB2312"/>
          <w:color w:val="000000" w:themeColor="text1"/>
          <w:kern w:val="0"/>
          <w:sz w:val="32"/>
          <w:szCs w:val="32"/>
          <w:lang w:val="en-US" w:eastAsia="zh-CN"/>
        </w:rPr>
        <w:t>23</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ascii="仿宋_GB2312" w:hAnsi="仿宋_GB2312" w:cs="仿宋_GB2312"/>
          <w:color w:val="000000" w:themeColor="text1"/>
          <w:kern w:val="0"/>
          <w:sz w:val="32"/>
          <w:szCs w:val="32"/>
        </w:rPr>
        <w:t>六、一般公共预算财政拨款基本支出决算情况说明</w:t>
      </w:r>
      <w:r>
        <w:rPr>
          <w:rFonts w:hint="eastAsia" w:ascii="仿宋_GB2312" w:hAnsi="仿宋_GB2312" w:cs="仿宋_GB2312"/>
          <w:color w:val="000000" w:themeColor="text1"/>
          <w:kern w:val="0"/>
          <w:sz w:val="32"/>
          <w:szCs w:val="32"/>
        </w:rPr>
        <w:t>..........2</w:t>
      </w:r>
      <w:r>
        <w:rPr>
          <w:rFonts w:hint="eastAsia" w:ascii="仿宋_GB2312" w:hAnsi="仿宋_GB2312" w:cs="仿宋_GB2312"/>
          <w:color w:val="000000" w:themeColor="text1"/>
          <w:kern w:val="0"/>
          <w:sz w:val="32"/>
          <w:szCs w:val="32"/>
          <w:lang w:val="en-US" w:eastAsia="zh-CN"/>
        </w:rPr>
        <w:t>4</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ascii="仿宋_GB2312" w:hAnsi="仿宋_GB2312" w:cs="仿宋_GB2312"/>
          <w:color w:val="000000" w:themeColor="text1"/>
          <w:kern w:val="0"/>
          <w:sz w:val="32"/>
          <w:szCs w:val="32"/>
        </w:rPr>
        <w:t>七、一般公共预算财政拨款三公经费支出决算情况说明</w:t>
      </w:r>
      <w:r>
        <w:rPr>
          <w:rFonts w:hint="eastAsia" w:ascii="仿宋_GB2312" w:hAnsi="仿宋_GB2312" w:cs="仿宋_GB2312"/>
          <w:color w:val="000000" w:themeColor="text1"/>
          <w:kern w:val="0"/>
          <w:sz w:val="32"/>
          <w:szCs w:val="32"/>
        </w:rPr>
        <w:t>......2</w:t>
      </w:r>
      <w:r>
        <w:rPr>
          <w:rFonts w:hint="eastAsia" w:ascii="仿宋_GB2312" w:hAnsi="仿宋_GB2312" w:cs="仿宋_GB2312"/>
          <w:color w:val="000000" w:themeColor="text1"/>
          <w:kern w:val="0"/>
          <w:sz w:val="32"/>
          <w:szCs w:val="32"/>
          <w:lang w:val="en-US" w:eastAsia="zh-CN"/>
        </w:rPr>
        <w:t>4</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hint="eastAsia" w:ascii="仿宋_GB2312" w:hAnsi="仿宋_GB2312" w:cs="仿宋_GB2312"/>
          <w:color w:val="000000" w:themeColor="text1"/>
          <w:kern w:val="0"/>
          <w:sz w:val="32"/>
          <w:szCs w:val="32"/>
        </w:rPr>
        <w:t>八</w:t>
      </w:r>
      <w:r>
        <w:rPr>
          <w:rFonts w:ascii="仿宋_GB2312" w:hAnsi="仿宋_GB2312" w:cs="仿宋_GB2312"/>
          <w:color w:val="000000" w:themeColor="text1"/>
          <w:kern w:val="0"/>
          <w:sz w:val="32"/>
          <w:szCs w:val="32"/>
        </w:rPr>
        <w:t>、</w:t>
      </w:r>
      <w:r>
        <w:rPr>
          <w:rFonts w:hint="eastAsia" w:ascii="仿宋_GB2312" w:hAnsi="仿宋_GB2312" w:cs="仿宋_GB2312"/>
          <w:color w:val="000000" w:themeColor="text1"/>
          <w:kern w:val="0"/>
          <w:sz w:val="32"/>
          <w:szCs w:val="32"/>
        </w:rPr>
        <w:t>政府性基金预算收入支出决算情况....................2</w:t>
      </w:r>
      <w:r>
        <w:rPr>
          <w:rFonts w:hint="eastAsia" w:ascii="仿宋_GB2312" w:hAnsi="仿宋_GB2312" w:cs="仿宋_GB2312"/>
          <w:color w:val="000000" w:themeColor="text1"/>
          <w:kern w:val="0"/>
          <w:sz w:val="32"/>
          <w:szCs w:val="32"/>
          <w:lang w:val="en-US" w:eastAsia="zh-CN"/>
        </w:rPr>
        <w:t>5</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hint="eastAsia" w:ascii="仿宋_GB2312" w:hAnsi="仿宋_GB2312" w:cs="仿宋_GB2312"/>
          <w:color w:val="000000" w:themeColor="text1"/>
          <w:kern w:val="0"/>
          <w:sz w:val="32"/>
          <w:szCs w:val="32"/>
        </w:rPr>
        <w:t>九</w:t>
      </w:r>
      <w:r>
        <w:rPr>
          <w:rFonts w:ascii="仿宋_GB2312" w:hAnsi="仿宋_GB2312" w:cs="仿宋_GB2312"/>
          <w:color w:val="000000" w:themeColor="text1"/>
          <w:kern w:val="0"/>
          <w:sz w:val="32"/>
          <w:szCs w:val="32"/>
        </w:rPr>
        <w:t>、</w:t>
      </w:r>
      <w:r>
        <w:rPr>
          <w:rFonts w:hint="eastAsia" w:ascii="仿宋_GB2312" w:hAnsi="仿宋_GB2312" w:cs="仿宋_GB2312"/>
          <w:color w:val="000000" w:themeColor="text1"/>
          <w:kern w:val="0"/>
          <w:sz w:val="32"/>
          <w:szCs w:val="32"/>
        </w:rPr>
        <w:t>关于机关运行经费支出说明..........................2</w:t>
      </w:r>
      <w:r>
        <w:rPr>
          <w:rFonts w:hint="eastAsia" w:ascii="仿宋_GB2312" w:hAnsi="仿宋_GB2312" w:cs="仿宋_GB2312"/>
          <w:color w:val="000000" w:themeColor="text1"/>
          <w:kern w:val="0"/>
          <w:sz w:val="32"/>
          <w:szCs w:val="32"/>
          <w:lang w:val="en-US" w:eastAsia="zh-CN"/>
        </w:rPr>
        <w:t>5</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hint="eastAsia" w:ascii="仿宋_GB2312" w:hAnsi="仿宋_GB2312" w:cs="仿宋_GB2312"/>
          <w:color w:val="000000" w:themeColor="text1"/>
          <w:kern w:val="0"/>
          <w:sz w:val="32"/>
          <w:szCs w:val="32"/>
        </w:rPr>
        <w:t>十、一般性支出情况....................................2</w:t>
      </w:r>
      <w:r>
        <w:rPr>
          <w:rFonts w:hint="eastAsia" w:ascii="仿宋_GB2312" w:hAnsi="仿宋_GB2312" w:cs="仿宋_GB2312"/>
          <w:color w:val="000000" w:themeColor="text1"/>
          <w:kern w:val="0"/>
          <w:sz w:val="32"/>
          <w:szCs w:val="32"/>
          <w:lang w:val="en-US" w:eastAsia="zh-CN"/>
        </w:rPr>
        <w:t>5</w:t>
      </w:r>
    </w:p>
    <w:p>
      <w:pPr>
        <w:autoSpaceDE w:val="0"/>
        <w:autoSpaceDN w:val="0"/>
        <w:adjustRightInd w:val="0"/>
        <w:spacing w:line="500" w:lineRule="exact"/>
        <w:ind w:firstLine="800" w:firstLineChars="250"/>
        <w:jc w:val="left"/>
        <w:outlineLvl w:val="2"/>
        <w:rPr>
          <w:rFonts w:hint="eastAsia" w:ascii="仿宋_GB2312" w:hAnsi="仿宋_GB2312" w:cs="仿宋_GB2312" w:eastAsiaTheme="minorEastAsia"/>
          <w:color w:val="000000" w:themeColor="text1"/>
          <w:kern w:val="0"/>
          <w:sz w:val="32"/>
          <w:szCs w:val="32"/>
          <w:lang w:eastAsia="zh-CN"/>
        </w:rPr>
      </w:pPr>
      <w:r>
        <w:rPr>
          <w:rFonts w:hint="eastAsia" w:ascii="仿宋_GB2312" w:hAnsi="仿宋_GB2312" w:cs="仿宋_GB2312"/>
          <w:color w:val="000000" w:themeColor="text1"/>
          <w:kern w:val="0"/>
          <w:sz w:val="32"/>
          <w:szCs w:val="32"/>
        </w:rPr>
        <w:t>十一、关于政府采购支出说明............................2</w:t>
      </w:r>
      <w:r>
        <w:rPr>
          <w:rFonts w:hint="eastAsia" w:ascii="仿宋_GB2312" w:hAnsi="仿宋_GB2312" w:cs="仿宋_GB2312"/>
          <w:color w:val="000000" w:themeColor="text1"/>
          <w:kern w:val="0"/>
          <w:sz w:val="32"/>
          <w:szCs w:val="32"/>
          <w:lang w:val="en-US" w:eastAsia="zh-CN"/>
        </w:rPr>
        <w:t>6</w:t>
      </w:r>
    </w:p>
    <w:p>
      <w:pPr>
        <w:pStyle w:val="11"/>
        <w:spacing w:line="500" w:lineRule="exact"/>
        <w:ind w:firstLine="800" w:firstLineChars="250"/>
        <w:outlineLvl w:val="2"/>
        <w:rPr>
          <w:rFonts w:hint="eastAsia" w:ascii="仿宋_GB2312" w:hAnsi="仿宋_GB2312" w:cs="仿宋_GB2312" w:eastAsiaTheme="minorEastAsia"/>
          <w:color w:val="000000" w:themeColor="text1"/>
          <w:sz w:val="32"/>
          <w:szCs w:val="32"/>
          <w:lang w:eastAsia="zh-CN"/>
        </w:rPr>
      </w:pPr>
      <w:r>
        <w:rPr>
          <w:rFonts w:hint="eastAsia" w:ascii="仿宋_GB2312" w:hAnsi="仿宋_GB2312" w:cs="仿宋_GB2312" w:eastAsiaTheme="minorEastAsia"/>
          <w:color w:val="000000" w:themeColor="text1"/>
          <w:sz w:val="32"/>
          <w:szCs w:val="32"/>
        </w:rPr>
        <w:t>十二、关于国有资产占用情况说明........................2</w:t>
      </w:r>
      <w:r>
        <w:rPr>
          <w:rFonts w:hint="eastAsia" w:ascii="仿宋_GB2312" w:hAnsi="仿宋_GB2312" w:cs="仿宋_GB2312" w:eastAsiaTheme="minorEastAsia"/>
          <w:color w:val="000000" w:themeColor="text1"/>
          <w:sz w:val="32"/>
          <w:szCs w:val="32"/>
          <w:lang w:val="en-US" w:eastAsia="zh-CN"/>
        </w:rPr>
        <w:t>6</w:t>
      </w:r>
    </w:p>
    <w:p>
      <w:pPr>
        <w:pStyle w:val="11"/>
        <w:spacing w:line="500" w:lineRule="exact"/>
        <w:ind w:firstLine="800" w:firstLineChars="250"/>
        <w:outlineLvl w:val="2"/>
        <w:rPr>
          <w:rFonts w:hint="eastAsia" w:ascii="仿宋_GB2312" w:hAnsi="仿宋_GB2312" w:cs="仿宋_GB2312" w:eastAsiaTheme="minorEastAsia"/>
          <w:color w:val="000000" w:themeColor="text1"/>
          <w:sz w:val="32"/>
          <w:szCs w:val="32"/>
          <w:lang w:eastAsia="zh-CN"/>
        </w:rPr>
      </w:pPr>
      <w:r>
        <w:rPr>
          <w:rFonts w:hint="eastAsia" w:ascii="仿宋_GB2312" w:hAnsi="仿宋_GB2312" w:cs="仿宋_GB2312" w:eastAsiaTheme="minorEastAsia"/>
          <w:color w:val="000000" w:themeColor="text1"/>
          <w:sz w:val="32"/>
          <w:szCs w:val="32"/>
        </w:rPr>
        <w:t>十三、关</w:t>
      </w:r>
      <w:r>
        <w:rPr>
          <w:rFonts w:hint="eastAsia" w:cs="仿宋_GB2312" w:asciiTheme="minorEastAsia" w:hAnsiTheme="minorEastAsia" w:eastAsiaTheme="minorEastAsia"/>
          <w:color w:val="000000" w:themeColor="text1"/>
          <w:sz w:val="32"/>
          <w:szCs w:val="32"/>
        </w:rPr>
        <w:t>于202</w:t>
      </w:r>
      <w:r>
        <w:rPr>
          <w:rFonts w:hint="eastAsia" w:cs="仿宋_GB2312" w:asciiTheme="minorEastAsia" w:hAnsiTheme="minorEastAsia" w:eastAsiaTheme="minorEastAsia"/>
          <w:color w:val="000000" w:themeColor="text1"/>
          <w:sz w:val="32"/>
          <w:szCs w:val="32"/>
          <w:lang w:val="en-US" w:eastAsia="zh-CN"/>
        </w:rPr>
        <w:t>1</w:t>
      </w:r>
      <w:r>
        <w:rPr>
          <w:rFonts w:hint="eastAsia" w:cs="仿宋_GB2312" w:asciiTheme="minorEastAsia" w:hAnsiTheme="minorEastAsia" w:eastAsiaTheme="minorEastAsia"/>
          <w:color w:val="000000" w:themeColor="text1"/>
          <w:sz w:val="32"/>
          <w:szCs w:val="32"/>
        </w:rPr>
        <w:t>年</w:t>
      </w:r>
      <w:r>
        <w:rPr>
          <w:rFonts w:hint="eastAsia" w:ascii="仿宋_GB2312" w:hAnsi="仿宋_GB2312" w:cs="仿宋_GB2312" w:eastAsiaTheme="minorEastAsia"/>
          <w:color w:val="000000" w:themeColor="text1"/>
          <w:sz w:val="32"/>
          <w:szCs w:val="32"/>
        </w:rPr>
        <w:t>度预算绩效情况的说明..................2</w:t>
      </w:r>
      <w:r>
        <w:rPr>
          <w:rFonts w:hint="eastAsia" w:ascii="仿宋_GB2312" w:hAnsi="仿宋_GB2312" w:cs="仿宋_GB2312" w:eastAsiaTheme="minorEastAsia"/>
          <w:color w:val="000000" w:themeColor="text1"/>
          <w:sz w:val="32"/>
          <w:szCs w:val="32"/>
          <w:lang w:val="en-US" w:eastAsia="zh-CN"/>
        </w:rPr>
        <w:t>6</w:t>
      </w:r>
    </w:p>
    <w:p>
      <w:pPr>
        <w:autoSpaceDE w:val="0"/>
        <w:autoSpaceDN w:val="0"/>
        <w:adjustRightInd w:val="0"/>
        <w:spacing w:line="500" w:lineRule="exact"/>
        <w:jc w:val="left"/>
        <w:outlineLvl w:val="1"/>
        <w:rPr>
          <w:rFonts w:hint="eastAsia" w:ascii="黑体" w:hAnsi="黑体" w:cs="黑体" w:eastAsiaTheme="minorEastAsia"/>
          <w:b/>
          <w:color w:val="000000" w:themeColor="text1"/>
          <w:kern w:val="0"/>
          <w:sz w:val="32"/>
          <w:szCs w:val="32"/>
          <w:lang w:eastAsia="zh-CN"/>
        </w:rPr>
      </w:pPr>
      <w:r>
        <w:rPr>
          <w:rFonts w:ascii="黑体" w:hAnsi="黑体" w:eastAsia="黑体" w:cs="黑体"/>
          <w:b/>
          <w:color w:val="000000" w:themeColor="text1"/>
          <w:kern w:val="0"/>
          <w:sz w:val="32"/>
          <w:szCs w:val="32"/>
        </w:rPr>
        <w:t>第四部分名词解释</w:t>
      </w:r>
      <w:r>
        <w:rPr>
          <w:rFonts w:hint="eastAsia" w:ascii="仿宋_GB2312" w:hAnsi="仿宋_GB2312" w:cs="仿宋_GB2312"/>
          <w:color w:val="000000" w:themeColor="text1"/>
          <w:kern w:val="0"/>
          <w:sz w:val="32"/>
          <w:szCs w:val="32"/>
        </w:rPr>
        <w:t>..........................................</w:t>
      </w:r>
      <w:r>
        <w:rPr>
          <w:rFonts w:hint="eastAsia" w:ascii="仿宋_GB2312" w:hAnsi="仿宋_GB2312" w:cs="仿宋_GB2312"/>
          <w:color w:val="000000" w:themeColor="text1"/>
          <w:sz w:val="32"/>
          <w:szCs w:val="32"/>
        </w:rPr>
        <w:t>.</w:t>
      </w:r>
      <w:r>
        <w:rPr>
          <w:rFonts w:hint="eastAsia" w:ascii="仿宋_GB2312" w:hAnsi="仿宋_GB2312" w:cs="仿宋_GB2312"/>
          <w:color w:val="000000" w:themeColor="text1"/>
          <w:kern w:val="0"/>
          <w:sz w:val="32"/>
          <w:szCs w:val="32"/>
        </w:rPr>
        <w:t>2</w:t>
      </w:r>
      <w:r>
        <w:rPr>
          <w:rFonts w:hint="eastAsia" w:ascii="仿宋_GB2312" w:hAnsi="仿宋_GB2312" w:cs="仿宋_GB2312"/>
          <w:color w:val="000000" w:themeColor="text1"/>
          <w:kern w:val="0"/>
          <w:sz w:val="32"/>
          <w:szCs w:val="32"/>
          <w:lang w:val="en-US" w:eastAsia="zh-CN"/>
        </w:rPr>
        <w:t>7</w:t>
      </w:r>
    </w:p>
    <w:p>
      <w:pPr>
        <w:autoSpaceDE w:val="0"/>
        <w:autoSpaceDN w:val="0"/>
        <w:adjustRightInd w:val="0"/>
        <w:spacing w:line="500" w:lineRule="exact"/>
        <w:jc w:val="left"/>
        <w:outlineLvl w:val="1"/>
        <w:rPr>
          <w:rFonts w:hint="eastAsia" w:ascii="仿宋_GB2312" w:hAnsi="仿宋_GB2312" w:cs="仿宋_GB2312" w:eastAsiaTheme="minorEastAsia"/>
          <w:color w:val="000000" w:themeColor="text1"/>
          <w:kern w:val="0"/>
          <w:sz w:val="32"/>
          <w:szCs w:val="32"/>
          <w:lang w:eastAsia="zh-CN"/>
        </w:rPr>
      </w:pPr>
      <w:r>
        <w:rPr>
          <w:rFonts w:hint="eastAsia" w:ascii="黑体" w:hAnsi="黑体" w:eastAsia="黑体" w:cs="黑体"/>
          <w:b/>
          <w:color w:val="000000" w:themeColor="text1"/>
          <w:kern w:val="0"/>
          <w:sz w:val="32"/>
          <w:szCs w:val="32"/>
        </w:rPr>
        <w:t>第五部分附件</w:t>
      </w:r>
      <w:r>
        <w:rPr>
          <w:rFonts w:hint="eastAsia" w:ascii="仿宋_GB2312" w:hAnsi="仿宋_GB2312" w:cs="仿宋_GB2312"/>
          <w:color w:val="000000" w:themeColor="text1"/>
          <w:kern w:val="0"/>
          <w:sz w:val="32"/>
          <w:szCs w:val="32"/>
        </w:rPr>
        <w:t>..............................................</w:t>
      </w:r>
      <w:r>
        <w:rPr>
          <w:rFonts w:hint="eastAsia" w:ascii="仿宋_GB2312" w:hAnsi="仿宋_GB2312" w:cs="仿宋_GB2312"/>
          <w:color w:val="000000" w:themeColor="text1"/>
          <w:sz w:val="32"/>
          <w:szCs w:val="32"/>
        </w:rPr>
        <w:t>.</w:t>
      </w:r>
      <w:r>
        <w:rPr>
          <w:rFonts w:hint="eastAsia" w:ascii="仿宋_GB2312" w:hAnsi="仿宋_GB2312" w:cs="仿宋_GB2312"/>
          <w:color w:val="000000" w:themeColor="text1"/>
          <w:kern w:val="0"/>
          <w:sz w:val="32"/>
          <w:szCs w:val="32"/>
        </w:rPr>
        <w:t>2</w:t>
      </w:r>
      <w:r>
        <w:rPr>
          <w:rFonts w:hint="eastAsia" w:ascii="仿宋_GB2312" w:hAnsi="仿宋_GB2312" w:cs="仿宋_GB2312"/>
          <w:color w:val="000000" w:themeColor="text1"/>
          <w:kern w:val="0"/>
          <w:sz w:val="32"/>
          <w:szCs w:val="32"/>
          <w:lang w:val="en-US" w:eastAsia="zh-CN"/>
        </w:rPr>
        <w:t>9</w:t>
      </w:r>
    </w:p>
    <w:p>
      <w:pPr>
        <w:autoSpaceDE w:val="0"/>
        <w:autoSpaceDN w:val="0"/>
        <w:adjustRightInd w:val="0"/>
        <w:spacing w:line="500" w:lineRule="exact"/>
        <w:jc w:val="left"/>
        <w:outlineLvl w:val="1"/>
        <w:rPr>
          <w:rFonts w:ascii="仿宋_GB2312" w:hAnsi="仿宋_GB2312" w:cs="仿宋_GB2312"/>
          <w:color w:val="000000" w:themeColor="text1"/>
          <w:kern w:val="0"/>
          <w:sz w:val="32"/>
          <w:szCs w:val="32"/>
        </w:rPr>
      </w:pPr>
    </w:p>
    <w:p>
      <w:pPr>
        <w:jc w:val="center"/>
        <w:rPr>
          <w:color w:val="000000" w:themeColor="text1"/>
          <w:sz w:val="72"/>
          <w:szCs w:val="72"/>
        </w:rPr>
      </w:pPr>
    </w:p>
    <w:p>
      <w:pPr>
        <w:jc w:val="center"/>
        <w:rPr>
          <w:color w:val="000000" w:themeColor="text1"/>
          <w:sz w:val="72"/>
          <w:szCs w:val="72"/>
        </w:rPr>
      </w:pPr>
    </w:p>
    <w:p>
      <w:pPr>
        <w:jc w:val="center"/>
        <w:rPr>
          <w:color w:val="000000" w:themeColor="text1"/>
          <w:sz w:val="72"/>
          <w:szCs w:val="72"/>
        </w:rPr>
      </w:pPr>
    </w:p>
    <w:p>
      <w:pPr>
        <w:jc w:val="center"/>
        <w:rPr>
          <w:sz w:val="72"/>
          <w:szCs w:val="72"/>
        </w:rPr>
      </w:pPr>
    </w:p>
    <w:p>
      <w:pPr>
        <w:rPr>
          <w:sz w:val="72"/>
          <w:szCs w:val="72"/>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72"/>
          <w:szCs w:val="72"/>
        </w:rPr>
      </w:pPr>
      <w:r>
        <w:rPr>
          <w:rFonts w:hint="eastAsia"/>
          <w:sz w:val="72"/>
          <w:szCs w:val="72"/>
        </w:rPr>
        <w:t>第一部分</w:t>
      </w:r>
    </w:p>
    <w:p>
      <w:pPr>
        <w:pStyle w:val="11"/>
        <w:jc w:val="center"/>
        <w:rPr>
          <w:sz w:val="72"/>
          <w:szCs w:val="72"/>
        </w:rPr>
      </w:pPr>
    </w:p>
    <w:p>
      <w:pPr>
        <w:pStyle w:val="11"/>
        <w:jc w:val="center"/>
        <w:rPr>
          <w:sz w:val="72"/>
          <w:szCs w:val="72"/>
        </w:rPr>
      </w:pPr>
      <w:r>
        <w:rPr>
          <w:rFonts w:hint="eastAsia"/>
          <w:sz w:val="72"/>
          <w:szCs w:val="72"/>
        </w:rPr>
        <w:t>湖南省体育科学</w:t>
      </w:r>
    </w:p>
    <w:p>
      <w:pPr>
        <w:pStyle w:val="11"/>
        <w:jc w:val="center"/>
        <w:rPr>
          <w:sz w:val="72"/>
          <w:szCs w:val="72"/>
        </w:rPr>
      </w:pPr>
      <w:r>
        <w:rPr>
          <w:rFonts w:hint="eastAsia"/>
          <w:sz w:val="72"/>
          <w:szCs w:val="72"/>
        </w:rPr>
        <w:t>研究所单位概况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湖南省体育科学研究所（以下简称省体科所）成立于1979年，由湖南省科技厅、湖南省体育局双重领导下的公益一类全额拨款事业单位，主要从事群众体育和竞技体育的科学研究，具体包括：运动机能评定与恢复、运动性疾病诊断与康复、国民体质监测、儿童少年发育评定、湖南省反兴奋剂宣传教育检查等工作。</w:t>
      </w:r>
    </w:p>
    <w:p>
      <w:pPr>
        <w:widowControl/>
        <w:spacing w:line="600" w:lineRule="exact"/>
        <w:rPr>
          <w:rFonts w:ascii="仿宋_GB2312" w:eastAsia="仿宋_GB2312" w:hAnsiTheme="minorEastAsia"/>
          <w:sz w:val="28"/>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（一）内设机构设置。省体科所内设机构包括：办公室、研究一室、研究二室、国民体质监测中心、国家体育总局“运动机能评定与恢复”重点实验室。</w:t>
      </w:r>
    </w:p>
    <w:p>
      <w:pPr>
        <w:widowControl/>
        <w:spacing w:line="600" w:lineRule="exact"/>
        <w:rPr>
          <w:rFonts w:ascii="仿宋" w:hAnsi="仿宋" w:eastAsia="仿宋" w:cs="仿宋"/>
          <w:bCs/>
          <w:color w:val="000000" w:themeColor="text1"/>
          <w:kern w:val="0"/>
          <w:sz w:val="32"/>
          <w:szCs w:val="32"/>
        </w:rPr>
      </w:pPr>
      <w:r>
        <w:rPr>
          <w:rFonts w:hint="eastAsia" w:asciiTheme="minorEastAsia" w:hAnsiTheme="minorEastAsia"/>
          <w:bCs/>
          <w:kern w:val="0"/>
          <w:sz w:val="32"/>
          <w:szCs w:val="32"/>
        </w:rPr>
        <w:t>（二）决算单位构成。省体科所2021年部门决算汇总公开单位构成包括：</w:t>
      </w:r>
      <w:r>
        <w:rPr>
          <w:rFonts w:hint="eastAsia" w:asciiTheme="minorEastAsia" w:hAnsiTheme="minorEastAsia"/>
          <w:bCs/>
          <w:kern w:val="0"/>
          <w:sz w:val="32"/>
          <w:szCs w:val="32"/>
          <w:lang w:eastAsia="zh-CN"/>
        </w:rPr>
        <w:t>湖南省体育科学研究</w:t>
      </w:r>
      <w:r>
        <w:rPr>
          <w:rFonts w:hint="eastAsia" w:asciiTheme="minorEastAsia" w:hAnsiTheme="minorEastAsia"/>
          <w:bCs/>
          <w:kern w:val="0"/>
          <w:sz w:val="32"/>
          <w:szCs w:val="32"/>
        </w:rPr>
        <w:t>所单位本级</w:t>
      </w:r>
      <w:r>
        <w:rPr>
          <w:rFonts w:hint="eastAsia" w:ascii="仿宋" w:hAnsi="仿宋" w:eastAsia="仿宋" w:cs="仿宋"/>
          <w:bCs/>
          <w:color w:val="000000" w:themeColor="text1"/>
          <w:kern w:val="0"/>
          <w:sz w:val="32"/>
          <w:szCs w:val="32"/>
        </w:rPr>
        <w:t>。</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rPr>
          <w:sz w:val="72"/>
          <w:szCs w:val="72"/>
        </w:rPr>
      </w:pPr>
    </w:p>
    <w:p>
      <w:pPr>
        <w:jc w:val="center"/>
        <w:rPr>
          <w:sz w:val="72"/>
          <w:szCs w:val="72"/>
        </w:rPr>
      </w:pPr>
    </w:p>
    <w:p>
      <w:pPr>
        <w:pStyle w:val="11"/>
        <w:jc w:val="center"/>
        <w:rPr>
          <w:sz w:val="72"/>
          <w:szCs w:val="72"/>
        </w:rPr>
      </w:pPr>
      <w:r>
        <w:rPr>
          <w:rFonts w:hint="eastAsia"/>
          <w:sz w:val="72"/>
          <w:szCs w:val="72"/>
        </w:rPr>
        <w:t>第二部分</w:t>
      </w:r>
    </w:p>
    <w:p>
      <w:pPr>
        <w:pStyle w:val="11"/>
        <w:jc w:val="center"/>
        <w:rPr>
          <w:sz w:val="72"/>
          <w:szCs w:val="72"/>
        </w:rPr>
      </w:pPr>
    </w:p>
    <w:p>
      <w:pPr>
        <w:pStyle w:val="11"/>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footerReference r:id="rId3" w:type="default"/>
          <w:pgSz w:w="11906" w:h="16838"/>
          <w:pgMar w:top="720" w:right="720" w:bottom="720" w:left="720" w:header="851" w:footer="992" w:gutter="0"/>
          <w:cols w:space="425" w:num="1"/>
          <w:docGrid w:type="lines" w:linePitch="312" w:charSpace="0"/>
        </w:sectPr>
      </w:pPr>
    </w:p>
    <w:tbl>
      <w:tblPr>
        <w:tblStyle w:val="7"/>
        <w:tblW w:w="14437" w:type="dxa"/>
        <w:tblInd w:w="96" w:type="dxa"/>
        <w:tblLayout w:type="autofit"/>
        <w:tblCellMar>
          <w:top w:w="0" w:type="dxa"/>
          <w:left w:w="108" w:type="dxa"/>
          <w:bottom w:w="0" w:type="dxa"/>
          <w:right w:w="108" w:type="dxa"/>
        </w:tblCellMar>
      </w:tblPr>
      <w:tblGrid>
        <w:gridCol w:w="4520"/>
        <w:gridCol w:w="815"/>
        <w:gridCol w:w="2006"/>
        <w:gridCol w:w="4255"/>
        <w:gridCol w:w="815"/>
        <w:gridCol w:w="2033"/>
      </w:tblGrid>
      <w:tr>
        <w:tblPrEx>
          <w:tblCellMar>
            <w:top w:w="0" w:type="dxa"/>
            <w:left w:w="108" w:type="dxa"/>
            <w:bottom w:w="0" w:type="dxa"/>
            <w:right w:w="108" w:type="dxa"/>
          </w:tblCellMar>
        </w:tblPrEx>
        <w:trPr>
          <w:trHeight w:val="375" w:hRule="atLeast"/>
        </w:trPr>
        <w:tc>
          <w:tcPr>
            <w:tcW w:w="14444" w:type="dxa"/>
            <w:gridSpan w:val="6"/>
            <w:tcBorders>
              <w:top w:val="nil"/>
              <w:left w:val="nil"/>
              <w:bottom w:val="nil"/>
              <w:right w:val="single" w:color="808080" w:sz="4" w:space="0"/>
            </w:tcBorders>
            <w:shd w:val="clear" w:color="auto" w:fill="auto"/>
            <w:noWrap/>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rPr>
              <w:t>收入支出决算总表</w:t>
            </w:r>
          </w:p>
        </w:tc>
      </w:tr>
      <w:tr>
        <w:tblPrEx>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single" w:color="80808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公开01表</w:t>
            </w:r>
          </w:p>
        </w:tc>
      </w:tr>
      <w:tr>
        <w:tblPrEx>
          <w:tblCellMar>
            <w:top w:w="0" w:type="dxa"/>
            <w:left w:w="108" w:type="dxa"/>
            <w:bottom w:w="0" w:type="dxa"/>
            <w:right w:w="108" w:type="dxa"/>
          </w:tblCellMar>
        </w:tblPrEx>
        <w:trPr>
          <w:trHeight w:val="300" w:hRule="atLeast"/>
        </w:trPr>
        <w:tc>
          <w:tcPr>
            <w:tcW w:w="0" w:type="auto"/>
            <w:tcBorders>
              <w:top w:val="nil"/>
              <w:left w:val="nil"/>
              <w:bottom w:val="single" w:color="auto" w:sz="4" w:space="0"/>
              <w:right w:val="nil"/>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部门：湖南省体育科学研究所</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2021年度</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single" w:color="80808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金额单位：</w:t>
            </w:r>
            <w:r>
              <w:rPr>
                <w:rFonts w:hint="eastAsia" w:ascii="宋体" w:hAnsi="宋体" w:eastAsia="宋体" w:cs="宋体"/>
                <w:color w:val="000000"/>
                <w:kern w:val="0"/>
                <w:sz w:val="22"/>
                <w:lang w:eastAsia="zh-CN"/>
              </w:rPr>
              <w:t>万</w:t>
            </w:r>
            <w:r>
              <w:rPr>
                <w:rFonts w:hint="eastAsia" w:ascii="宋体" w:hAnsi="宋体" w:eastAsia="宋体" w:cs="宋体"/>
                <w:color w:val="000000"/>
                <w:kern w:val="0"/>
                <w:sz w:val="22"/>
              </w:rPr>
              <w:t>元</w:t>
            </w:r>
          </w:p>
        </w:tc>
      </w:tr>
      <w:tr>
        <w:tblPrEx>
          <w:tblCellMar>
            <w:top w:w="0" w:type="dxa"/>
            <w:left w:w="108" w:type="dxa"/>
            <w:bottom w:w="0" w:type="dxa"/>
            <w:right w:w="108" w:type="dxa"/>
          </w:tblCellMar>
        </w:tblPrEx>
        <w:trPr>
          <w:trHeight w:val="300"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收入</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支出</w:t>
            </w:r>
          </w:p>
        </w:tc>
      </w:tr>
      <w:tr>
        <w:tblPrEx>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0" w:type="auto"/>
            <w:tcBorders>
              <w:top w:val="nil"/>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r>
      <w:tr>
        <w:tblPrEx>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rPr>
            </w:pP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rPr>
            </w:pPr>
          </w:p>
        </w:tc>
        <w:tc>
          <w:tcPr>
            <w:tcW w:w="0" w:type="auto"/>
            <w:tcBorders>
              <w:top w:val="nil"/>
              <w:left w:val="single" w:color="auto"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r>
      <w:tr>
        <w:tblPrEx>
          <w:tblCellMar>
            <w:top w:w="0" w:type="dxa"/>
            <w:left w:w="108" w:type="dxa"/>
            <w:bottom w:w="0" w:type="dxa"/>
            <w:right w:w="108" w:type="dxa"/>
          </w:tblCellMar>
        </w:tblPrEx>
        <w:trPr>
          <w:trHeight w:val="300" w:hRule="atLeast"/>
        </w:trPr>
        <w:tc>
          <w:tcPr>
            <w:tcW w:w="4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8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w:t>
            </w:r>
          </w:p>
        </w:tc>
        <w:tc>
          <w:tcPr>
            <w:tcW w:w="20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740.47</w:t>
            </w:r>
          </w:p>
        </w:tc>
        <w:tc>
          <w:tcPr>
            <w:tcW w:w="4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8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32</w:t>
            </w:r>
          </w:p>
        </w:tc>
        <w:tc>
          <w:tcPr>
            <w:tcW w:w="2033" w:type="dxa"/>
            <w:tcBorders>
              <w:top w:val="nil"/>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8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w:t>
            </w:r>
          </w:p>
        </w:tc>
        <w:tc>
          <w:tcPr>
            <w:tcW w:w="200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395.00</w:t>
            </w:r>
          </w:p>
        </w:tc>
        <w:tc>
          <w:tcPr>
            <w:tcW w:w="42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二、外交支出</w:t>
            </w:r>
          </w:p>
        </w:tc>
        <w:tc>
          <w:tcPr>
            <w:tcW w:w="8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w:t>
            </w:r>
          </w:p>
        </w:tc>
        <w:tc>
          <w:tcPr>
            <w:tcW w:w="2033" w:type="dxa"/>
            <w:tcBorders>
              <w:top w:val="nil"/>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815"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w:t>
            </w:r>
          </w:p>
        </w:tc>
        <w:tc>
          <w:tcPr>
            <w:tcW w:w="200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三、国防支出</w:t>
            </w:r>
          </w:p>
        </w:tc>
        <w:tc>
          <w:tcPr>
            <w:tcW w:w="815"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34</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四、上级补助收入</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四、公共安全支出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35</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五、事业收入</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五、教育支出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36</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六、经营收入</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六、科学技术支出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37</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481.76</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7</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38</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159.17</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八、其他收入</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8</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39</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9</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九、卫生健康支出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40</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十、节能环保支出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41</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11</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十一、城乡社区支出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42</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12</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十二、农林水支出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13</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十三、交通运输支出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44</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14</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45</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16</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十六、金融支出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47</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17</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48</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18</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49</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19</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十九、住房保障支出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50</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57.86</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51</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21</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52</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53</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23</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二十三、其他支出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54</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430.43</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55</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25</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56</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26</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57</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本年收入合计</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27</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1,135.47</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本年支出合计</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58</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1,172.72</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使用非财政拨款结余</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28</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结余分配</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59</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年初结转和结余</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29</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140.47</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年末结转和结余</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60</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103.22</w:t>
            </w: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30</w:t>
            </w:r>
          </w:p>
        </w:tc>
        <w:tc>
          <w:tcPr>
            <w:tcW w:w="200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4255"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61</w:t>
            </w:r>
          </w:p>
        </w:tc>
        <w:tc>
          <w:tcPr>
            <w:tcW w:w="2033"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452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总计</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31</w:t>
            </w:r>
          </w:p>
        </w:tc>
        <w:tc>
          <w:tcPr>
            <w:tcW w:w="20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1,275.94</w:t>
            </w:r>
          </w:p>
        </w:tc>
        <w:tc>
          <w:tcPr>
            <w:tcW w:w="42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总计</w:t>
            </w:r>
          </w:p>
        </w:tc>
        <w:tc>
          <w:tcPr>
            <w:tcW w:w="81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62</w:t>
            </w:r>
          </w:p>
        </w:tc>
        <w:tc>
          <w:tcPr>
            <w:tcW w:w="20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1,275.94</w:t>
            </w:r>
          </w:p>
        </w:tc>
      </w:tr>
      <w:tr>
        <w:tblPrEx>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注：1.本表反映部门本年度的总收支和年末结转结余情况。</w:t>
            </w:r>
          </w:p>
        </w:tc>
      </w:tr>
      <w:tr>
        <w:tblPrEx>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p>
      <w:pPr>
        <w:widowControl/>
        <w:jc w:val="left"/>
        <w:rPr>
          <w:rFonts w:ascii="Times New Roman" w:hAnsi="Times New Roman" w:eastAsia="黑体" w:cs="Times New Roman"/>
          <w:bCs/>
          <w:kern w:val="0"/>
          <w:sz w:val="32"/>
          <w:szCs w:val="32"/>
        </w:rPr>
      </w:pPr>
    </w:p>
    <w:tbl>
      <w:tblPr>
        <w:tblStyle w:val="7"/>
        <w:tblW w:w="15252" w:type="dxa"/>
        <w:tblInd w:w="96" w:type="dxa"/>
        <w:tblLayout w:type="fixed"/>
        <w:tblCellMar>
          <w:top w:w="0" w:type="dxa"/>
          <w:left w:w="108" w:type="dxa"/>
          <w:bottom w:w="0" w:type="dxa"/>
          <w:right w:w="108" w:type="dxa"/>
        </w:tblCellMar>
      </w:tblPr>
      <w:tblGrid>
        <w:gridCol w:w="1437"/>
        <w:gridCol w:w="1632"/>
        <w:gridCol w:w="236"/>
        <w:gridCol w:w="236"/>
        <w:gridCol w:w="3608"/>
        <w:gridCol w:w="1524"/>
        <w:gridCol w:w="1524"/>
        <w:gridCol w:w="861"/>
        <w:gridCol w:w="839"/>
        <w:gridCol w:w="899"/>
        <w:gridCol w:w="1198"/>
        <w:gridCol w:w="1258"/>
      </w:tblGrid>
      <w:tr>
        <w:tblPrEx>
          <w:tblCellMar>
            <w:top w:w="0" w:type="dxa"/>
            <w:left w:w="108" w:type="dxa"/>
            <w:bottom w:w="0" w:type="dxa"/>
            <w:right w:w="108" w:type="dxa"/>
          </w:tblCellMar>
        </w:tblPrEx>
        <w:trPr>
          <w:trHeight w:val="375" w:hRule="atLeast"/>
        </w:trPr>
        <w:tc>
          <w:tcPr>
            <w:tcW w:w="15252" w:type="dxa"/>
            <w:gridSpan w:val="12"/>
            <w:tcBorders>
              <w:top w:val="nil"/>
              <w:left w:val="nil"/>
              <w:bottom w:val="nil"/>
              <w:right w:val="single" w:color="808080" w:sz="4" w:space="0"/>
            </w:tcBorders>
            <w:shd w:val="clear" w:color="auto" w:fill="auto"/>
            <w:noWrap/>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rPr>
              <w:t>收入决算表</w:t>
            </w:r>
          </w:p>
        </w:tc>
      </w:tr>
      <w:tr>
        <w:tblPrEx>
          <w:tblCellMar>
            <w:top w:w="0" w:type="dxa"/>
            <w:left w:w="108" w:type="dxa"/>
            <w:bottom w:w="0" w:type="dxa"/>
            <w:right w:w="108" w:type="dxa"/>
          </w:tblCellMar>
        </w:tblPrEx>
        <w:trPr>
          <w:trHeight w:val="300" w:hRule="atLeast"/>
        </w:trPr>
        <w:tc>
          <w:tcPr>
            <w:tcW w:w="3069"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360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1524"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1524"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861"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839"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899"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1198"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1258" w:type="dxa"/>
            <w:tcBorders>
              <w:top w:val="nil"/>
              <w:left w:val="nil"/>
              <w:bottom w:val="nil"/>
              <w:right w:val="single" w:color="80808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公开02表</w:t>
            </w:r>
          </w:p>
        </w:tc>
      </w:tr>
      <w:tr>
        <w:tblPrEx>
          <w:tblCellMar>
            <w:top w:w="0" w:type="dxa"/>
            <w:left w:w="108" w:type="dxa"/>
            <w:bottom w:w="0" w:type="dxa"/>
            <w:right w:w="108" w:type="dxa"/>
          </w:tblCellMar>
        </w:tblPrEx>
        <w:trPr>
          <w:trHeight w:val="300" w:hRule="atLeast"/>
        </w:trPr>
        <w:tc>
          <w:tcPr>
            <w:tcW w:w="3069" w:type="dxa"/>
            <w:gridSpan w:val="2"/>
            <w:tcBorders>
              <w:top w:val="nil"/>
              <w:left w:val="nil"/>
              <w:bottom w:val="single" w:color="auto" w:sz="4" w:space="0"/>
              <w:right w:val="nil"/>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部门：湖南省体育科学研究所</w:t>
            </w:r>
          </w:p>
        </w:tc>
        <w:tc>
          <w:tcPr>
            <w:tcW w:w="23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3608"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3048" w:type="dxa"/>
            <w:gridSpan w:val="2"/>
            <w:tcBorders>
              <w:top w:val="nil"/>
              <w:left w:val="nil"/>
              <w:bottom w:val="single" w:color="auto" w:sz="4" w:space="0"/>
              <w:right w:val="nil"/>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2021年度</w:t>
            </w:r>
          </w:p>
        </w:tc>
        <w:tc>
          <w:tcPr>
            <w:tcW w:w="861"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839"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899"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2456" w:type="dxa"/>
            <w:gridSpan w:val="2"/>
            <w:tcBorders>
              <w:top w:val="nil"/>
              <w:left w:val="nil"/>
              <w:bottom w:val="single" w:color="auto" w:sz="4" w:space="0"/>
              <w:right w:val="single" w:color="808080" w:sz="4" w:space="0"/>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金额单位：</w:t>
            </w:r>
            <w:r>
              <w:rPr>
                <w:rFonts w:hint="eastAsia" w:ascii="宋体" w:hAnsi="宋体" w:eastAsia="宋体" w:cs="宋体"/>
                <w:color w:val="000000"/>
                <w:kern w:val="0"/>
                <w:sz w:val="22"/>
                <w:lang w:eastAsia="zh-CN"/>
              </w:rPr>
              <w:t>万</w:t>
            </w:r>
            <w:r>
              <w:rPr>
                <w:rFonts w:hint="eastAsia" w:ascii="宋体" w:hAnsi="宋体" w:eastAsia="宋体" w:cs="宋体"/>
                <w:color w:val="000000"/>
                <w:kern w:val="0"/>
                <w:sz w:val="22"/>
              </w:rPr>
              <w:t>元</w:t>
            </w:r>
          </w:p>
        </w:tc>
      </w:tr>
      <w:tr>
        <w:tblPrEx>
          <w:tblCellMar>
            <w:top w:w="0" w:type="dxa"/>
            <w:left w:w="108" w:type="dxa"/>
            <w:bottom w:w="0" w:type="dxa"/>
            <w:right w:w="108" w:type="dxa"/>
          </w:tblCellMar>
        </w:tblPrEx>
        <w:trPr>
          <w:trHeight w:val="300" w:hRule="atLeast"/>
        </w:trPr>
        <w:tc>
          <w:tcPr>
            <w:tcW w:w="714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项目</w:t>
            </w:r>
          </w:p>
        </w:tc>
        <w:tc>
          <w:tcPr>
            <w:tcW w:w="15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本年收入合计</w:t>
            </w:r>
          </w:p>
        </w:tc>
        <w:tc>
          <w:tcPr>
            <w:tcW w:w="15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财政拨款收入</w:t>
            </w:r>
          </w:p>
        </w:tc>
        <w:tc>
          <w:tcPr>
            <w:tcW w:w="8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上级补助收入</w:t>
            </w:r>
          </w:p>
        </w:tc>
        <w:tc>
          <w:tcPr>
            <w:tcW w:w="8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事业收入</w:t>
            </w:r>
          </w:p>
        </w:tc>
        <w:tc>
          <w:tcPr>
            <w:tcW w:w="8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经营收入</w:t>
            </w:r>
          </w:p>
        </w:tc>
        <w:tc>
          <w:tcPr>
            <w:tcW w:w="11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附属单位上缴收入</w:t>
            </w:r>
          </w:p>
        </w:tc>
        <w:tc>
          <w:tcPr>
            <w:tcW w:w="12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其他收入</w:t>
            </w:r>
          </w:p>
        </w:tc>
      </w:tr>
      <w:tr>
        <w:tblPrEx>
          <w:tblCellMar>
            <w:top w:w="0" w:type="dxa"/>
            <w:left w:w="108" w:type="dxa"/>
            <w:bottom w:w="0" w:type="dxa"/>
            <w:right w:w="108" w:type="dxa"/>
          </w:tblCellMar>
        </w:tblPrEx>
        <w:trPr>
          <w:trHeight w:val="312" w:hRule="atLeast"/>
        </w:trPr>
        <w:tc>
          <w:tcPr>
            <w:tcW w:w="1437"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功能分类科目编码</w:t>
            </w:r>
          </w:p>
        </w:tc>
        <w:tc>
          <w:tcPr>
            <w:tcW w:w="5712" w:type="dxa"/>
            <w:gridSpan w:val="4"/>
            <w:vMerge w:val="restart"/>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科目名称</w:t>
            </w:r>
          </w:p>
        </w:tc>
        <w:tc>
          <w:tcPr>
            <w:tcW w:w="1524"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524"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61"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39"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99"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198"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58" w:type="dxa"/>
            <w:vMerge w:val="continue"/>
            <w:tcBorders>
              <w:top w:val="single" w:color="auto" w:sz="4" w:space="0"/>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0" w:type="auto"/>
            <w:gridSpan w:val="4"/>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2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52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6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3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9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198"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58"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0" w:type="auto"/>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0" w:type="auto"/>
            <w:gridSpan w:val="4"/>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2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524"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61"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3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899"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198"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58"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7149"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栏次</w:t>
            </w:r>
          </w:p>
        </w:tc>
        <w:tc>
          <w:tcPr>
            <w:tcW w:w="152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w:t>
            </w:r>
          </w:p>
        </w:tc>
        <w:tc>
          <w:tcPr>
            <w:tcW w:w="152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w:t>
            </w:r>
          </w:p>
        </w:tc>
        <w:tc>
          <w:tcPr>
            <w:tcW w:w="86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w:t>
            </w:r>
          </w:p>
        </w:tc>
        <w:tc>
          <w:tcPr>
            <w:tcW w:w="83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w:t>
            </w:r>
          </w:p>
        </w:tc>
        <w:tc>
          <w:tcPr>
            <w:tcW w:w="89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9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w:t>
            </w:r>
          </w:p>
        </w:tc>
        <w:tc>
          <w:tcPr>
            <w:tcW w:w="12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7</w:t>
            </w:r>
          </w:p>
        </w:tc>
      </w:tr>
      <w:tr>
        <w:tblPrEx>
          <w:tblCellMar>
            <w:top w:w="0" w:type="dxa"/>
            <w:left w:w="108" w:type="dxa"/>
            <w:bottom w:w="0" w:type="dxa"/>
            <w:right w:w="108" w:type="dxa"/>
          </w:tblCellMar>
        </w:tblPrEx>
        <w:trPr>
          <w:trHeight w:val="300" w:hRule="atLeast"/>
        </w:trPr>
        <w:tc>
          <w:tcPr>
            <w:tcW w:w="7149"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合计</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1,135.47</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1,135.47</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467.91</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467.91</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20603</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应用研究</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467.91</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467.91</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2060301</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467.91</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467.91</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文化旅游体育与传媒支出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170.00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170.00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20703</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体育</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170.00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170.00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2070399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其他体育支出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170.00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170.00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44.30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44.30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20805</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2080505</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20899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其他社会保障和就业支出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0.80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0.80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2089999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其他社会保障和就业支出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0.80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0.80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210</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0.40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0.40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21099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其他卫生健康支出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0.40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0.40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2109999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其他卫生健康支出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0.40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0.40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22102</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2210201</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2210203</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229</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395.00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395.00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22960</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彩票公益金安排的支出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395.00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395.00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2296003</w:t>
            </w:r>
          </w:p>
        </w:tc>
        <w:tc>
          <w:tcPr>
            <w:tcW w:w="5712"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395.00</w:t>
            </w:r>
          </w:p>
        </w:tc>
        <w:tc>
          <w:tcPr>
            <w:tcW w:w="152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395.00</w:t>
            </w:r>
          </w:p>
        </w:tc>
        <w:tc>
          <w:tcPr>
            <w:tcW w:w="86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89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1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2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5252" w:type="dxa"/>
            <w:gridSpan w:val="12"/>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注：本表反映部门本年度取得的各项收入情况。</w:t>
            </w:r>
          </w:p>
        </w:tc>
      </w:tr>
    </w:tbl>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tbl>
      <w:tblPr>
        <w:tblStyle w:val="7"/>
        <w:tblW w:w="15452" w:type="dxa"/>
        <w:tblInd w:w="96" w:type="dxa"/>
        <w:tblLayout w:type="autofit"/>
        <w:tblCellMar>
          <w:top w:w="0" w:type="dxa"/>
          <w:left w:w="108" w:type="dxa"/>
          <w:bottom w:w="0" w:type="dxa"/>
          <w:right w:w="108" w:type="dxa"/>
        </w:tblCellMar>
      </w:tblPr>
      <w:tblGrid>
        <w:gridCol w:w="3978"/>
        <w:gridCol w:w="1338"/>
        <w:gridCol w:w="1338"/>
        <w:gridCol w:w="1336"/>
        <w:gridCol w:w="1375"/>
        <w:gridCol w:w="1288"/>
        <w:gridCol w:w="1288"/>
        <w:gridCol w:w="601"/>
        <w:gridCol w:w="602"/>
        <w:gridCol w:w="2374"/>
      </w:tblGrid>
      <w:tr>
        <w:tblPrEx>
          <w:tblCellMar>
            <w:top w:w="0" w:type="dxa"/>
            <w:left w:w="108" w:type="dxa"/>
            <w:bottom w:w="0" w:type="dxa"/>
            <w:right w:w="108" w:type="dxa"/>
          </w:tblCellMar>
        </w:tblPrEx>
        <w:trPr>
          <w:trHeight w:val="375" w:hRule="atLeast"/>
        </w:trPr>
        <w:tc>
          <w:tcPr>
            <w:tcW w:w="15452" w:type="dxa"/>
            <w:gridSpan w:val="10"/>
            <w:tcBorders>
              <w:top w:val="nil"/>
              <w:left w:val="nil"/>
              <w:bottom w:val="nil"/>
              <w:right w:val="nil"/>
            </w:tcBorders>
            <w:shd w:val="clear" w:color="auto" w:fill="auto"/>
            <w:noWrap/>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rPr>
              <w:t>支出决算表</w:t>
            </w:r>
          </w:p>
        </w:tc>
      </w:tr>
      <w:tr>
        <w:tblPrEx>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697"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公开03表</w:t>
            </w:r>
          </w:p>
        </w:tc>
      </w:tr>
      <w:tr>
        <w:tblPrEx>
          <w:tblCellMar>
            <w:top w:w="0" w:type="dxa"/>
            <w:left w:w="108" w:type="dxa"/>
            <w:bottom w:w="0" w:type="dxa"/>
            <w:right w:w="108" w:type="dxa"/>
          </w:tblCellMar>
        </w:tblPrEx>
        <w:trPr>
          <w:trHeight w:val="300" w:hRule="atLeast"/>
        </w:trPr>
        <w:tc>
          <w:tcPr>
            <w:tcW w:w="0" w:type="auto"/>
            <w:tcBorders>
              <w:top w:val="nil"/>
              <w:left w:val="nil"/>
              <w:bottom w:val="single" w:color="auto" w:sz="4" w:space="0"/>
              <w:right w:val="nil"/>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部门：湖南省体育科学研究所</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2021年度</w:t>
            </w: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0" w:type="auto"/>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2697" w:type="dxa"/>
            <w:tcBorders>
              <w:top w:val="nil"/>
              <w:left w:val="nil"/>
              <w:bottom w:val="single" w:color="auto" w:sz="4" w:space="0"/>
              <w:right w:val="nil"/>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金额单位：</w:t>
            </w:r>
            <w:r>
              <w:rPr>
                <w:rFonts w:hint="eastAsia" w:ascii="宋体" w:hAnsi="宋体" w:eastAsia="宋体" w:cs="宋体"/>
                <w:color w:val="000000"/>
                <w:kern w:val="0"/>
                <w:sz w:val="22"/>
                <w:lang w:eastAsia="zh-CN"/>
              </w:rPr>
              <w:t>万</w:t>
            </w:r>
            <w:r>
              <w:rPr>
                <w:rFonts w:hint="eastAsia" w:ascii="宋体" w:hAnsi="宋体" w:eastAsia="宋体" w:cs="宋体"/>
                <w:color w:val="000000"/>
                <w:kern w:val="0"/>
                <w:sz w:val="22"/>
              </w:rPr>
              <w:t>元</w:t>
            </w:r>
          </w:p>
        </w:tc>
      </w:tr>
      <w:tr>
        <w:tblPrEx>
          <w:tblCellMar>
            <w:top w:w="0" w:type="dxa"/>
            <w:left w:w="108" w:type="dxa"/>
            <w:bottom w:w="0" w:type="dxa"/>
            <w:right w:w="108" w:type="dxa"/>
          </w:tblCellMar>
        </w:tblPrEx>
        <w:trPr>
          <w:trHeight w:val="300" w:hRule="atLeast"/>
        </w:trPr>
        <w:tc>
          <w:tcPr>
            <w:tcW w:w="713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项   目</w:t>
            </w:r>
          </w:p>
        </w:tc>
        <w:tc>
          <w:tcPr>
            <w:tcW w:w="15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本年支出合计</w:t>
            </w:r>
          </w:p>
        </w:tc>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基本支出</w:t>
            </w:r>
          </w:p>
        </w:tc>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项目支出</w:t>
            </w:r>
          </w:p>
        </w:tc>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上缴上级支出</w:t>
            </w:r>
          </w:p>
        </w:tc>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经营支出</w:t>
            </w:r>
          </w:p>
        </w:tc>
        <w:tc>
          <w:tcPr>
            <w:tcW w:w="26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CellMar>
            <w:top w:w="0" w:type="dxa"/>
            <w:left w:w="108" w:type="dxa"/>
            <w:bottom w:w="0" w:type="dxa"/>
            <w:right w:w="108" w:type="dxa"/>
          </w:tblCellMar>
        </w:tblPrEx>
        <w:trPr>
          <w:trHeight w:val="312" w:hRule="atLeast"/>
        </w:trPr>
        <w:tc>
          <w:tcPr>
            <w:tcW w:w="143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功能分类科目编码</w:t>
            </w:r>
          </w:p>
        </w:tc>
        <w:tc>
          <w:tcPr>
            <w:tcW w:w="5702" w:type="dxa"/>
            <w:gridSpan w:val="3"/>
            <w:vMerge w:val="restart"/>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科目名称</w:t>
            </w:r>
          </w:p>
        </w:tc>
        <w:tc>
          <w:tcPr>
            <w:tcW w:w="1527"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69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0" w:type="auto"/>
            <w:gridSpan w:val="3"/>
            <w:vMerge w:val="continue"/>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27"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69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0" w:type="auto"/>
            <w:gridSpan w:val="3"/>
            <w:vMerge w:val="continue"/>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527"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426"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620"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69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7136" w:type="dxa"/>
            <w:gridSpan w:val="4"/>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栏次</w:t>
            </w:r>
          </w:p>
        </w:tc>
        <w:tc>
          <w:tcPr>
            <w:tcW w:w="1527"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w:t>
            </w:r>
          </w:p>
        </w:tc>
        <w:tc>
          <w:tcPr>
            <w:tcW w:w="1426"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w:t>
            </w:r>
          </w:p>
        </w:tc>
        <w:tc>
          <w:tcPr>
            <w:tcW w:w="1426"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w:t>
            </w:r>
          </w:p>
        </w:tc>
        <w:tc>
          <w:tcPr>
            <w:tcW w:w="620"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w:t>
            </w:r>
          </w:p>
        </w:tc>
        <w:tc>
          <w:tcPr>
            <w:tcW w:w="620"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w:t>
            </w:r>
          </w:p>
        </w:tc>
        <w:tc>
          <w:tcPr>
            <w:tcW w:w="2697"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w:t>
            </w:r>
          </w:p>
        </w:tc>
      </w:tr>
      <w:tr>
        <w:tblPrEx>
          <w:tblCellMar>
            <w:top w:w="0" w:type="dxa"/>
            <w:left w:w="108" w:type="dxa"/>
            <w:bottom w:w="0" w:type="dxa"/>
            <w:right w:w="108" w:type="dxa"/>
          </w:tblCellMar>
        </w:tblPrEx>
        <w:trPr>
          <w:trHeight w:val="300" w:hRule="atLeast"/>
        </w:trPr>
        <w:tc>
          <w:tcPr>
            <w:tcW w:w="7136"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合计</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1,172.72</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537.10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635.63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481.76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20603</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应用研究</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2060301</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435.74</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435.74</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20609</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科技重大项目</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2060902</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重点研发计划</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46.03</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46.03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文化旅游体育与传媒支出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20703</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体育</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2070399</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其他体育支出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159.17</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159.17</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20805</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2080505</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22102</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2210201</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2210203</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229</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430.43</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430.43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22960</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彩票公益金安排的支出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430.43</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430.43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2296003</w:t>
            </w:r>
          </w:p>
        </w:tc>
        <w:tc>
          <w:tcPr>
            <w:tcW w:w="5702"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430.43</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430.43</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62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5452" w:type="dxa"/>
            <w:gridSpan w:val="10"/>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注：本表反映部门本年度各项支出情况。</w:t>
            </w:r>
          </w:p>
        </w:tc>
      </w:tr>
    </w:tbl>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p>
      <w:pPr>
        <w:widowControl/>
        <w:jc w:val="left"/>
        <w:rPr>
          <w:rFonts w:ascii="Times New Roman" w:hAnsi="Times New Roman" w:eastAsia="黑体" w:cs="Times New Roman"/>
          <w:bCs/>
          <w:kern w:val="0"/>
          <w:sz w:val="32"/>
          <w:szCs w:val="32"/>
        </w:rPr>
      </w:pPr>
    </w:p>
    <w:tbl>
      <w:tblPr>
        <w:tblStyle w:val="7"/>
        <w:tblW w:w="15521" w:type="dxa"/>
        <w:tblInd w:w="93" w:type="dxa"/>
        <w:tblLayout w:type="fixed"/>
        <w:tblCellMar>
          <w:top w:w="0" w:type="dxa"/>
          <w:left w:w="108" w:type="dxa"/>
          <w:bottom w:w="0" w:type="dxa"/>
          <w:right w:w="108" w:type="dxa"/>
        </w:tblCellMar>
      </w:tblPr>
      <w:tblGrid>
        <w:gridCol w:w="2955"/>
        <w:gridCol w:w="500"/>
        <w:gridCol w:w="1922"/>
        <w:gridCol w:w="3273"/>
        <w:gridCol w:w="607"/>
        <w:gridCol w:w="240"/>
        <w:gridCol w:w="1699"/>
        <w:gridCol w:w="1405"/>
        <w:gridCol w:w="1405"/>
        <w:gridCol w:w="1515"/>
      </w:tblGrid>
      <w:tr>
        <w:tblPrEx>
          <w:tblCellMar>
            <w:top w:w="0" w:type="dxa"/>
            <w:left w:w="108" w:type="dxa"/>
            <w:bottom w:w="0" w:type="dxa"/>
            <w:right w:w="108" w:type="dxa"/>
          </w:tblCellMar>
        </w:tblPrEx>
        <w:trPr>
          <w:trHeight w:val="360" w:hRule="atLeast"/>
        </w:trPr>
        <w:tc>
          <w:tcPr>
            <w:tcW w:w="1552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29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0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88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9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295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部门：湖南省体育科学研究所</w:t>
            </w:r>
          </w:p>
        </w:tc>
        <w:tc>
          <w:tcPr>
            <w:tcW w:w="50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2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88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2021年度　</w:t>
            </w:r>
          </w:p>
        </w:tc>
        <w:tc>
          <w:tcPr>
            <w:tcW w:w="2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9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5"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color w:val="000000"/>
                <w:kern w:val="0"/>
                <w:sz w:val="20"/>
                <w:szCs w:val="20"/>
                <w:lang w:eastAsia="zh-CN"/>
              </w:rPr>
              <w:t>万</w:t>
            </w:r>
            <w:r>
              <w:rPr>
                <w:rFonts w:hint="eastAsia" w:ascii="宋体" w:hAnsi="宋体" w:eastAsia="宋体" w:cs="宋体"/>
                <w:color w:val="000000"/>
                <w:kern w:val="0"/>
                <w:sz w:val="20"/>
                <w:szCs w:val="20"/>
              </w:rPr>
              <w:t>元</w:t>
            </w:r>
          </w:p>
        </w:tc>
      </w:tr>
      <w:tr>
        <w:tblPrEx>
          <w:tblCellMar>
            <w:top w:w="0" w:type="dxa"/>
            <w:left w:w="108" w:type="dxa"/>
            <w:bottom w:w="0" w:type="dxa"/>
            <w:right w:w="108" w:type="dxa"/>
          </w:tblCellMar>
        </w:tblPrEx>
        <w:trPr>
          <w:trHeight w:val="402" w:hRule="atLeast"/>
        </w:trPr>
        <w:tc>
          <w:tcPr>
            <w:tcW w:w="5377"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144"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9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2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6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4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4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92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2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69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4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4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1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w:t>
            </w:r>
          </w:p>
        </w:tc>
        <w:tc>
          <w:tcPr>
            <w:tcW w:w="1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740.47</w:t>
            </w: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33</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2</w:t>
            </w:r>
          </w:p>
        </w:tc>
        <w:tc>
          <w:tcPr>
            <w:tcW w:w="1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395.00</w:t>
            </w: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二、外交支出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34</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三、国有资本经营财政拨款</w:t>
            </w: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w:t>
            </w:r>
          </w:p>
        </w:tc>
        <w:tc>
          <w:tcPr>
            <w:tcW w:w="19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三、国防支出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35</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四、公共安全支出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36</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5</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五、教育支出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37</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6</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六、科学技术支出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38</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481.76</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481.76</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7</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18"/>
                <w:szCs w:val="18"/>
                <w:u w:val="none"/>
                <w:lang w:val="en-US" w:eastAsia="zh-CN" w:bidi="ar"/>
              </w:rPr>
              <w:t>七、文化旅游体育与传媒支出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39</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159.17</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159.17</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8</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40</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43.50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43.50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b/>
                <w:bCs/>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9</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18"/>
                <w:szCs w:val="18"/>
                <w:u w:val="none"/>
                <w:lang w:val="en-US" w:eastAsia="zh-CN" w:bidi="ar"/>
              </w:rPr>
              <w:t>九、卫生健康支出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41</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10</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十、节能环保支出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42</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11</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十一、城乡社区支出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43</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12</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十二、农林水支出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44</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kern w:val="0"/>
                <w:sz w:val="22"/>
              </w:rPr>
            </w:pPr>
          </w:p>
        </w:tc>
        <w:tc>
          <w:tcPr>
            <w:tcW w:w="5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13</w:t>
            </w:r>
          </w:p>
        </w:tc>
        <w:tc>
          <w:tcPr>
            <w:tcW w:w="192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十三、交通运输支出</w:t>
            </w:r>
          </w:p>
        </w:tc>
        <w:tc>
          <w:tcPr>
            <w:tcW w:w="8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45</w:t>
            </w:r>
          </w:p>
        </w:tc>
        <w:tc>
          <w:tcPr>
            <w:tcW w:w="1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402" w:hRule="atLeast"/>
        </w:trPr>
        <w:tc>
          <w:tcPr>
            <w:tcW w:w="2955"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jc w:val="left"/>
              <w:rPr>
                <w:rFonts w:ascii="宋体" w:hAnsi="宋体" w:eastAsia="宋体" w:cs="宋体"/>
                <w:b/>
                <w:bCs/>
                <w:kern w:val="0"/>
                <w:sz w:val="22"/>
              </w:rPr>
            </w:pPr>
          </w:p>
        </w:tc>
        <w:tc>
          <w:tcPr>
            <w:tcW w:w="50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14</w:t>
            </w:r>
          </w:p>
        </w:tc>
        <w:tc>
          <w:tcPr>
            <w:tcW w:w="192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3273"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b/>
                <w:bCs/>
                <w:kern w:val="0"/>
                <w:sz w:val="22"/>
              </w:rPr>
            </w:pPr>
            <w:r>
              <w:rPr>
                <w:rFonts w:hint="eastAsia" w:ascii="宋体" w:hAnsi="宋体" w:eastAsia="宋体" w:cs="宋体"/>
                <w:i w:val="0"/>
                <w:iCs w:val="0"/>
                <w:color w:val="000000"/>
                <w:kern w:val="0"/>
                <w:sz w:val="18"/>
                <w:szCs w:val="18"/>
                <w:u w:val="none"/>
                <w:lang w:val="en-US" w:eastAsia="zh-CN" w:bidi="ar"/>
              </w:rPr>
              <w:t>十四、资源勘探工业信息等支出</w:t>
            </w:r>
          </w:p>
        </w:tc>
        <w:tc>
          <w:tcPr>
            <w:tcW w:w="847"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46</w:t>
            </w:r>
          </w:p>
        </w:tc>
        <w:tc>
          <w:tcPr>
            <w:tcW w:w="1699"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15</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十五、商业服务业等支出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47</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16</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十六、金融支出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48</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17</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十七、援助其他地区支出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49</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18</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十八、自然资源海洋气象等支出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50</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19</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十九、住房保障支出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51</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57.86</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57.86</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20</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二十、粮油物资储备支出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52</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21</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二十一、国有资本经营预算支出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53</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22</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二十二、灾害防治及应急管理支出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54</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23</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二十三、其他支出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55</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430.43</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430.43</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24</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二十四、债务还本支出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56</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25</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二十五、债务付息支出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57</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4"/>
                <w:szCs w:val="24"/>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26</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pP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二十六、抗疫特别国债安排的支出</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58</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18"/>
                <w:szCs w:val="18"/>
                <w:u w:val="none"/>
                <w:lang w:val="en-US" w:eastAsia="zh-CN" w:bidi="ar"/>
              </w:rPr>
              <w:t>本年收入合计</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27</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1,135.47</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b/>
                <w:bCs/>
                <w:i w:val="0"/>
                <w:iCs w:val="0"/>
                <w:color w:val="000000"/>
                <w:kern w:val="0"/>
                <w:sz w:val="18"/>
                <w:szCs w:val="18"/>
                <w:u w:val="none"/>
                <w:lang w:val="en-US" w:eastAsia="zh-CN" w:bidi="ar"/>
              </w:rPr>
              <w:t>本年支出合计</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59</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1,172.72</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742.29</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430.43</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18"/>
                <w:szCs w:val="18"/>
                <w:u w:val="none"/>
                <w:lang w:val="en-US" w:eastAsia="zh-CN" w:bidi="ar"/>
              </w:rPr>
              <w:t>年初财政拨款结转和结余</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28</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140.47</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年末财政拨款结转和结余</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60</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103.22</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48.18</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55.04</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18"/>
                <w:szCs w:val="18"/>
                <w:u w:val="none"/>
                <w:lang w:val="en-US" w:eastAsia="zh-CN" w:bidi="ar"/>
              </w:rPr>
              <w:t xml:space="preserve">  一般公共预算财政拨款</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29</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50.00</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0"/>
                <w:szCs w:val="20"/>
              </w:rPr>
            </w:pP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61</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18"/>
                <w:szCs w:val="18"/>
                <w:u w:val="none"/>
                <w:lang w:val="en-US" w:eastAsia="zh-CN" w:bidi="ar"/>
              </w:rPr>
              <w:t xml:space="preserve">  政府性基金预算财政拨款</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30</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90.47</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0"/>
                <w:szCs w:val="20"/>
              </w:rPr>
            </w:pP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62</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18"/>
                <w:szCs w:val="18"/>
                <w:u w:val="none"/>
                <w:lang w:val="en-US" w:eastAsia="zh-CN" w:bidi="ar"/>
              </w:rPr>
              <w:t xml:space="preserve">  国有资本经营预算财政拨款</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31</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0.00</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kern w:val="0"/>
                <w:sz w:val="20"/>
                <w:szCs w:val="20"/>
              </w:rPr>
            </w:pP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63</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585" w:hRule="atLeast"/>
        </w:trPr>
        <w:tc>
          <w:tcPr>
            <w:tcW w:w="29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18"/>
                <w:szCs w:val="18"/>
                <w:u w:val="none"/>
                <w:lang w:val="en-US" w:eastAsia="zh-CN" w:bidi="ar"/>
              </w:rPr>
              <w:t>总计</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32</w:t>
            </w:r>
          </w:p>
        </w:tc>
        <w:tc>
          <w:tcPr>
            <w:tcW w:w="19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18"/>
                <w:szCs w:val="18"/>
                <w:u w:val="none"/>
                <w:lang w:val="en-US" w:eastAsia="zh-CN" w:bidi="ar"/>
              </w:rPr>
              <w:t>1,275.94</w:t>
            </w:r>
          </w:p>
        </w:tc>
        <w:tc>
          <w:tcPr>
            <w:tcW w:w="3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ascii="宋体" w:hAnsi="宋体" w:eastAsia="宋体" w:cs="宋体"/>
                <w:color w:val="000000"/>
                <w:kern w:val="0"/>
                <w:sz w:val="20"/>
                <w:szCs w:val="20"/>
              </w:rPr>
            </w:pPr>
            <w:r>
              <w:rPr>
                <w:rFonts w:hint="eastAsia" w:ascii="宋体" w:hAnsi="宋体" w:eastAsia="宋体" w:cs="宋体"/>
                <w:b/>
                <w:bCs/>
                <w:i w:val="0"/>
                <w:iCs w:val="0"/>
                <w:color w:val="000000"/>
                <w:kern w:val="0"/>
                <w:sz w:val="18"/>
                <w:szCs w:val="18"/>
                <w:u w:val="none"/>
                <w:lang w:val="en-US" w:eastAsia="zh-CN" w:bidi="ar"/>
              </w:rPr>
              <w:t>总计</w:t>
            </w:r>
          </w:p>
        </w:tc>
        <w:tc>
          <w:tcPr>
            <w:tcW w:w="8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64</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1,275.94</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790.47</w:t>
            </w:r>
          </w:p>
        </w:tc>
        <w:tc>
          <w:tcPr>
            <w:tcW w:w="14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485.47</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5" w:hRule="atLeast"/>
        </w:trPr>
        <w:tc>
          <w:tcPr>
            <w:tcW w:w="15521"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tbl>
      <w:tblPr>
        <w:tblStyle w:val="7"/>
        <w:tblW w:w="15172" w:type="dxa"/>
        <w:tblInd w:w="96" w:type="dxa"/>
        <w:tblLayout w:type="fixed"/>
        <w:tblCellMar>
          <w:top w:w="0" w:type="dxa"/>
          <w:left w:w="108" w:type="dxa"/>
          <w:bottom w:w="0" w:type="dxa"/>
          <w:right w:w="108" w:type="dxa"/>
        </w:tblCellMar>
      </w:tblPr>
      <w:tblGrid>
        <w:gridCol w:w="1437"/>
        <w:gridCol w:w="1633"/>
        <w:gridCol w:w="236"/>
        <w:gridCol w:w="236"/>
        <w:gridCol w:w="3609"/>
        <w:gridCol w:w="2673"/>
        <w:gridCol w:w="118"/>
        <w:gridCol w:w="2556"/>
        <w:gridCol w:w="59"/>
        <w:gridCol w:w="2615"/>
      </w:tblGrid>
      <w:tr>
        <w:tblPrEx>
          <w:tblCellMar>
            <w:top w:w="0" w:type="dxa"/>
            <w:left w:w="108" w:type="dxa"/>
            <w:bottom w:w="0" w:type="dxa"/>
            <w:right w:w="108" w:type="dxa"/>
          </w:tblCellMar>
        </w:tblPrEx>
        <w:trPr>
          <w:trHeight w:val="375" w:hRule="atLeast"/>
        </w:trPr>
        <w:tc>
          <w:tcPr>
            <w:tcW w:w="15172" w:type="dxa"/>
            <w:gridSpan w:val="10"/>
            <w:tcBorders>
              <w:top w:val="nil"/>
              <w:left w:val="nil"/>
              <w:bottom w:val="nil"/>
              <w:right w:val="nil"/>
            </w:tcBorders>
            <w:shd w:val="clear" w:color="auto" w:fill="auto"/>
            <w:noWrap/>
            <w:vAlign w:val="center"/>
          </w:tcPr>
          <w:p>
            <w:pPr>
              <w:widowControl/>
              <w:jc w:val="center"/>
              <w:textAlignment w:val="center"/>
              <w:rPr>
                <w:rFonts w:ascii="黑体" w:hAnsi="宋体" w:eastAsia="黑体" w:cs="黑体"/>
                <w:color w:val="000000"/>
                <w:sz w:val="30"/>
                <w:szCs w:val="30"/>
              </w:rPr>
            </w:pPr>
            <w:r>
              <w:rPr>
                <w:rFonts w:hint="eastAsia" w:ascii="黑体" w:hAnsi="宋体" w:eastAsia="黑体" w:cs="黑体"/>
                <w:color w:val="000000"/>
                <w:kern w:val="0"/>
                <w:sz w:val="30"/>
                <w:szCs w:val="30"/>
              </w:rPr>
              <w:t>一般公共预算财政拨款支出决算表</w:t>
            </w:r>
          </w:p>
        </w:tc>
      </w:tr>
      <w:tr>
        <w:tblPrEx>
          <w:tblCellMar>
            <w:top w:w="0" w:type="dxa"/>
            <w:left w:w="108" w:type="dxa"/>
            <w:bottom w:w="0" w:type="dxa"/>
            <w:right w:w="108" w:type="dxa"/>
          </w:tblCellMar>
        </w:tblPrEx>
        <w:trPr>
          <w:trHeight w:val="300" w:hRule="atLeast"/>
        </w:trPr>
        <w:tc>
          <w:tcPr>
            <w:tcW w:w="3070"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3609" w:type="dxa"/>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791"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615" w:type="dxa"/>
            <w:gridSpan w:val="2"/>
            <w:tcBorders>
              <w:top w:val="nil"/>
              <w:left w:val="nil"/>
              <w:bottom w:val="nil"/>
              <w:right w:val="nil"/>
            </w:tcBorders>
            <w:shd w:val="clear" w:color="auto" w:fill="auto"/>
            <w:noWrap/>
            <w:vAlign w:val="center"/>
          </w:tcPr>
          <w:p>
            <w:pPr>
              <w:jc w:val="left"/>
              <w:rPr>
                <w:rFonts w:ascii="宋体" w:hAnsi="宋体" w:eastAsia="宋体" w:cs="宋体"/>
                <w:color w:val="000000"/>
                <w:sz w:val="18"/>
                <w:szCs w:val="18"/>
              </w:rPr>
            </w:pPr>
          </w:p>
        </w:tc>
        <w:tc>
          <w:tcPr>
            <w:tcW w:w="2615"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公开05表</w:t>
            </w:r>
          </w:p>
        </w:tc>
      </w:tr>
      <w:tr>
        <w:tblPrEx>
          <w:tblCellMar>
            <w:top w:w="0" w:type="dxa"/>
            <w:left w:w="108" w:type="dxa"/>
            <w:bottom w:w="0" w:type="dxa"/>
            <w:right w:w="108" w:type="dxa"/>
          </w:tblCellMar>
        </w:tblPrEx>
        <w:trPr>
          <w:trHeight w:val="300" w:hRule="atLeast"/>
        </w:trPr>
        <w:tc>
          <w:tcPr>
            <w:tcW w:w="3070" w:type="dxa"/>
            <w:gridSpan w:val="2"/>
            <w:tcBorders>
              <w:top w:val="nil"/>
              <w:left w:val="nil"/>
              <w:bottom w:val="single" w:color="auto" w:sz="4" w:space="0"/>
              <w:right w:val="nil"/>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部门：湖南省体育科学研究所</w:t>
            </w:r>
          </w:p>
        </w:tc>
        <w:tc>
          <w:tcPr>
            <w:tcW w:w="23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236" w:type="dxa"/>
            <w:tcBorders>
              <w:top w:val="nil"/>
              <w:left w:val="nil"/>
              <w:bottom w:val="single" w:color="auto" w:sz="4" w:space="0"/>
              <w:right w:val="nil"/>
            </w:tcBorders>
            <w:shd w:val="clear" w:color="auto" w:fill="auto"/>
            <w:noWrap/>
            <w:vAlign w:val="center"/>
          </w:tcPr>
          <w:p>
            <w:pPr>
              <w:jc w:val="left"/>
              <w:rPr>
                <w:rFonts w:ascii="宋体" w:hAnsi="宋体" w:eastAsia="宋体" w:cs="宋体"/>
                <w:color w:val="000000"/>
                <w:sz w:val="18"/>
                <w:szCs w:val="18"/>
              </w:rPr>
            </w:pPr>
          </w:p>
        </w:tc>
        <w:tc>
          <w:tcPr>
            <w:tcW w:w="9015" w:type="dxa"/>
            <w:gridSpan w:val="5"/>
            <w:tcBorders>
              <w:top w:val="nil"/>
              <w:left w:val="nil"/>
              <w:bottom w:val="single" w:color="auto" w:sz="4" w:space="0"/>
              <w:right w:val="nil"/>
            </w:tcBorders>
            <w:shd w:val="clear" w:color="auto" w:fill="auto"/>
            <w:noWrap/>
            <w:vAlign w:val="center"/>
          </w:tcPr>
          <w:p>
            <w:pPr>
              <w:jc w:val="center"/>
              <w:rPr>
                <w:rFonts w:ascii="宋体" w:hAnsi="宋体" w:eastAsia="宋体" w:cs="宋体"/>
                <w:color w:val="000000"/>
                <w:sz w:val="18"/>
                <w:szCs w:val="18"/>
              </w:rPr>
            </w:pPr>
            <w:r>
              <w:rPr>
                <w:rFonts w:hint="eastAsia" w:ascii="宋体" w:hAnsi="宋体" w:eastAsia="宋体" w:cs="宋体"/>
                <w:color w:val="000000"/>
                <w:kern w:val="0"/>
                <w:sz w:val="22"/>
              </w:rPr>
              <w:t>2021年度</w:t>
            </w:r>
          </w:p>
        </w:tc>
        <w:tc>
          <w:tcPr>
            <w:tcW w:w="2615" w:type="dxa"/>
            <w:tcBorders>
              <w:top w:val="nil"/>
              <w:left w:val="nil"/>
              <w:bottom w:val="single" w:color="auto" w:sz="4" w:space="0"/>
              <w:right w:val="nil"/>
            </w:tcBorders>
            <w:shd w:val="clear" w:color="auto" w:fill="auto"/>
            <w:noWrap/>
            <w:vAlign w:val="center"/>
          </w:tcPr>
          <w:p>
            <w:pPr>
              <w:widowControl/>
              <w:jc w:val="right"/>
              <w:textAlignment w:val="center"/>
              <w:rPr>
                <w:rFonts w:ascii="宋体" w:hAnsi="宋体" w:eastAsia="宋体" w:cs="宋体"/>
                <w:color w:val="000000"/>
                <w:sz w:val="22"/>
              </w:rPr>
            </w:pPr>
            <w:r>
              <w:rPr>
                <w:rFonts w:hint="eastAsia" w:ascii="宋体" w:hAnsi="宋体" w:eastAsia="宋体" w:cs="宋体"/>
                <w:color w:val="000000"/>
                <w:kern w:val="0"/>
                <w:sz w:val="22"/>
              </w:rPr>
              <w:t>金额单位：</w:t>
            </w:r>
            <w:r>
              <w:rPr>
                <w:rFonts w:hint="eastAsia" w:ascii="宋体" w:hAnsi="宋体" w:eastAsia="宋体" w:cs="宋体"/>
                <w:color w:val="000000"/>
                <w:kern w:val="0"/>
                <w:sz w:val="22"/>
                <w:lang w:eastAsia="zh-CN"/>
              </w:rPr>
              <w:t>万</w:t>
            </w:r>
            <w:r>
              <w:rPr>
                <w:rFonts w:hint="eastAsia" w:ascii="宋体" w:hAnsi="宋体" w:eastAsia="宋体" w:cs="宋体"/>
                <w:color w:val="000000"/>
                <w:kern w:val="0"/>
                <w:sz w:val="22"/>
              </w:rPr>
              <w:t>元</w:t>
            </w:r>
          </w:p>
        </w:tc>
      </w:tr>
      <w:tr>
        <w:tblPrEx>
          <w:tblCellMar>
            <w:top w:w="0" w:type="dxa"/>
            <w:left w:w="108" w:type="dxa"/>
            <w:bottom w:w="0" w:type="dxa"/>
            <w:right w:w="108" w:type="dxa"/>
          </w:tblCellMar>
        </w:tblPrEx>
        <w:trPr>
          <w:trHeight w:val="300" w:hRule="atLeast"/>
        </w:trPr>
        <w:tc>
          <w:tcPr>
            <w:tcW w:w="715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项目</w:t>
            </w:r>
          </w:p>
        </w:tc>
        <w:tc>
          <w:tcPr>
            <w:tcW w:w="802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本年支出</w:t>
            </w:r>
          </w:p>
        </w:tc>
      </w:tr>
      <w:tr>
        <w:tblPrEx>
          <w:tblCellMar>
            <w:top w:w="0" w:type="dxa"/>
            <w:left w:w="108" w:type="dxa"/>
            <w:bottom w:w="0" w:type="dxa"/>
            <w:right w:w="108" w:type="dxa"/>
          </w:tblCellMar>
        </w:tblPrEx>
        <w:trPr>
          <w:trHeight w:val="312" w:hRule="atLeast"/>
        </w:trPr>
        <w:tc>
          <w:tcPr>
            <w:tcW w:w="14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功能分类科目编码</w:t>
            </w:r>
          </w:p>
        </w:tc>
        <w:tc>
          <w:tcPr>
            <w:tcW w:w="5714"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科目名称</w:t>
            </w:r>
          </w:p>
        </w:tc>
        <w:tc>
          <w:tcPr>
            <w:tcW w:w="26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小计</w:t>
            </w:r>
          </w:p>
        </w:tc>
        <w:tc>
          <w:tcPr>
            <w:tcW w:w="26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基本支出</w:t>
            </w:r>
          </w:p>
        </w:tc>
        <w:tc>
          <w:tcPr>
            <w:tcW w:w="26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项目支出</w:t>
            </w:r>
          </w:p>
        </w:tc>
      </w:tr>
      <w:tr>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12"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4"/>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715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栏次</w:t>
            </w:r>
          </w:p>
        </w:tc>
        <w:tc>
          <w:tcPr>
            <w:tcW w:w="2673"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w:t>
            </w:r>
          </w:p>
        </w:tc>
        <w:tc>
          <w:tcPr>
            <w:tcW w:w="2674"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w:t>
            </w:r>
          </w:p>
        </w:tc>
        <w:tc>
          <w:tcPr>
            <w:tcW w:w="2674" w:type="dxa"/>
            <w:gridSpan w:val="2"/>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300" w:hRule="atLeast"/>
        </w:trPr>
        <w:tc>
          <w:tcPr>
            <w:tcW w:w="7151" w:type="dxa"/>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合计</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742.29</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537.10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205.20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科学技术支出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481.76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20603</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应用研究</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435.74</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2060301</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435.74</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435.74</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20609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科技重大项目</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46.03</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2060902</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重点研发计划</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46.03</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46.03</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文化旅游体育与传媒支出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20703</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体育</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159.17</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2070399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其他体育支出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159.17</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159.17</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20805</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2080505</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43.50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20899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其他社会保障和就业支出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2089999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其他社会保障和就业支出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210</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21099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其他卫生健康支出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2109999</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其他卫生健康支出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22102</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57.86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2210201</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33.00</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43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2210203</w:t>
            </w:r>
          </w:p>
        </w:tc>
        <w:tc>
          <w:tcPr>
            <w:tcW w:w="5714" w:type="dxa"/>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26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24.86</w:t>
            </w:r>
          </w:p>
        </w:tc>
        <w:tc>
          <w:tcPr>
            <w:tcW w:w="2674"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5172" w:type="dxa"/>
            <w:gridSpan w:val="10"/>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注：本表反映部门本年度一般公共预算财政拨款支出情况。</w:t>
            </w:r>
          </w:p>
        </w:tc>
      </w:tr>
    </w:tbl>
    <w:p>
      <w:pPr>
        <w:widowControl/>
        <w:jc w:val="center"/>
        <w:rPr>
          <w:rFonts w:ascii="Times New Roman" w:hAnsi="Times New Roman" w:eastAsia="方正小标宋_GBK" w:cs="Times New Roman"/>
          <w:kern w:val="0"/>
          <w:sz w:val="36"/>
          <w:szCs w:val="36"/>
        </w:rPr>
      </w:pPr>
    </w:p>
    <w:bookmarkEnd w:id="1"/>
    <w:tbl>
      <w:tblPr>
        <w:tblStyle w:val="7"/>
        <w:tblW w:w="15851" w:type="dxa"/>
        <w:tblInd w:w="0" w:type="dxa"/>
        <w:tblLayout w:type="fixed"/>
        <w:tblCellMar>
          <w:top w:w="0" w:type="dxa"/>
          <w:left w:w="108" w:type="dxa"/>
          <w:bottom w:w="0" w:type="dxa"/>
          <w:right w:w="108" w:type="dxa"/>
        </w:tblCellMar>
      </w:tblPr>
      <w:tblGrid>
        <w:gridCol w:w="1192"/>
        <w:gridCol w:w="2958"/>
        <w:gridCol w:w="1573"/>
        <w:gridCol w:w="1119"/>
        <w:gridCol w:w="2043"/>
        <w:gridCol w:w="1502"/>
        <w:gridCol w:w="590"/>
        <w:gridCol w:w="2871"/>
        <w:gridCol w:w="2003"/>
      </w:tblGrid>
      <w:tr>
        <w:tblPrEx>
          <w:tblCellMar>
            <w:top w:w="0" w:type="dxa"/>
            <w:left w:w="108" w:type="dxa"/>
            <w:bottom w:w="0" w:type="dxa"/>
            <w:right w:w="108" w:type="dxa"/>
          </w:tblCellMar>
        </w:tblPrEx>
        <w:trPr>
          <w:trHeight w:val="113" w:hRule="atLeast"/>
        </w:trPr>
        <w:tc>
          <w:tcPr>
            <w:tcW w:w="15851" w:type="dxa"/>
            <w:gridSpan w:val="9"/>
            <w:tcBorders>
              <w:top w:val="nil"/>
              <w:left w:val="nil"/>
              <w:bottom w:val="nil"/>
              <w:right w:val="nil"/>
            </w:tcBorders>
            <w:shd w:val="clear" w:color="auto" w:fill="auto"/>
            <w:noWrap/>
            <w:vAlign w:val="center"/>
          </w:tcPr>
          <w:p>
            <w:pPr>
              <w:widowControl/>
              <w:jc w:val="center"/>
              <w:textAlignment w:val="center"/>
              <w:rPr>
                <w:rFonts w:hint="eastAsia" w:ascii="黑体" w:hAnsi="宋体" w:eastAsia="黑体" w:cs="黑体"/>
                <w:color w:val="000000"/>
                <w:kern w:val="0"/>
                <w:sz w:val="30"/>
                <w:szCs w:val="30"/>
              </w:rPr>
            </w:pPr>
            <w:bookmarkStart w:id="2" w:name="RANGE!A1:I34"/>
            <w:r>
              <w:rPr>
                <w:rFonts w:hint="eastAsia" w:ascii="黑体" w:hAnsi="宋体" w:eastAsia="黑体" w:cs="黑体"/>
                <w:color w:val="000000"/>
                <w:kern w:val="0"/>
                <w:sz w:val="30"/>
                <w:szCs w:val="30"/>
              </w:rPr>
              <w:t>一般公共预算财政拨款基本支出决算明细表</w:t>
            </w:r>
            <w:bookmarkEnd w:id="2"/>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宋体" w:hAnsi="宋体" w:eastAsia="宋体" w:cs="宋体"/>
                <w:color w:val="000000"/>
                <w:kern w:val="0"/>
                <w:sz w:val="22"/>
              </w:rPr>
              <w:t xml:space="preserve">湖南省体育科学研究所                                            2021年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w:t>
            </w:r>
            <w:r>
              <w:rPr>
                <w:rFonts w:hint="eastAsia" w:ascii="Times New Roman" w:hAnsi="Times New Roman" w:eastAsia="仿宋_GB2312" w:cs="Times New Roman"/>
                <w:color w:val="000000"/>
                <w:kern w:val="0"/>
                <w:szCs w:val="21"/>
                <w:lang w:eastAsia="zh-CN"/>
              </w:rPr>
              <w:t>万</w:t>
            </w:r>
            <w:r>
              <w:rPr>
                <w:rFonts w:hint="eastAsia" w:ascii="Times New Roman" w:hAnsi="Times New Roman" w:eastAsia="仿宋_GB2312" w:cs="Times New Roman"/>
                <w:color w:val="000000"/>
                <w:kern w:val="0"/>
                <w:szCs w:val="21"/>
              </w:rPr>
              <w:t>元</w:t>
            </w:r>
          </w:p>
        </w:tc>
      </w:tr>
      <w:tr>
        <w:tblPrEx>
          <w:tblCellMar>
            <w:top w:w="0" w:type="dxa"/>
            <w:left w:w="108" w:type="dxa"/>
            <w:bottom w:w="0" w:type="dxa"/>
            <w:right w:w="108" w:type="dxa"/>
          </w:tblCellMar>
        </w:tblPrEx>
        <w:trPr>
          <w:trHeight w:val="113" w:hRule="atLeast"/>
        </w:trPr>
        <w:tc>
          <w:tcPr>
            <w:tcW w:w="11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9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5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5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8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20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工资福利支出</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429.56</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商品和服务支出</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74.48</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307</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30101</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139.66</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30201</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3.77</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30701</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30102</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36.38</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30202</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1.29</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30702</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30103</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奖金</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30203</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资本性支出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30106</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30204</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31001</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30107</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110.13</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30205</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水费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31002</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30108</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43.50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30206</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电费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31003</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30109</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30207</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2.79</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31005</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30110</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32.50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30208</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31006</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30111</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30209</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1.11</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31007</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30112</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30211</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0.93</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31008</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30113</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33.00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30212</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31009</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30114</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30213</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7.21</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31010</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30199</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28.40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30214</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31011</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33.05</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30215</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31012</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30301</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12.80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30216</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0.03</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31013</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30302</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7.98</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30217</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0.45</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31019</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30303</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30218</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31021</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30304</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30224</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31022</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30305</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2.86</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30225</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31099</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30306</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30226</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6.10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399</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其他支出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30307</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1.21</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30227</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0.32</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39906</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赠与</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30308</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30228</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20.20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39907</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30309</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1.54</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30229</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10.05</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39908</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30310</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30231</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39999</w:t>
            </w:r>
          </w:p>
        </w:tc>
        <w:tc>
          <w:tcPr>
            <w:tcW w:w="28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30311</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30239</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9.63</w:t>
            </w:r>
          </w:p>
        </w:tc>
        <w:tc>
          <w:tcPr>
            <w:tcW w:w="590"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87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00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30399</w:t>
            </w:r>
          </w:p>
        </w:tc>
        <w:tc>
          <w:tcPr>
            <w:tcW w:w="2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6.65</w:t>
            </w: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30240</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590"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87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00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192" w:type="dxa"/>
            <w:tcBorders>
              <w:top w:val="nil"/>
              <w:left w:val="single" w:color="auto" w:sz="4" w:space="0"/>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20"/>
              </w:rPr>
            </w:pPr>
          </w:p>
        </w:tc>
        <w:tc>
          <w:tcPr>
            <w:tcW w:w="2958"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20"/>
              </w:rPr>
            </w:pPr>
          </w:p>
        </w:tc>
        <w:tc>
          <w:tcPr>
            <w:tcW w:w="157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c>
          <w:tcPr>
            <w:tcW w:w="11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30299</w:t>
            </w:r>
          </w:p>
        </w:tc>
        <w:tc>
          <w:tcPr>
            <w:tcW w:w="20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15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10.59</w:t>
            </w:r>
          </w:p>
        </w:tc>
        <w:tc>
          <w:tcPr>
            <w:tcW w:w="590"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87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color w:val="000000"/>
                <w:kern w:val="0"/>
                <w:szCs w:val="18"/>
              </w:rPr>
            </w:pPr>
          </w:p>
        </w:tc>
        <w:tc>
          <w:tcPr>
            <w:tcW w:w="2003"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415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人员经费合计</w:t>
            </w:r>
          </w:p>
        </w:tc>
        <w:tc>
          <w:tcPr>
            <w:tcW w:w="15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462.61</w:t>
            </w:r>
          </w:p>
        </w:tc>
        <w:tc>
          <w:tcPr>
            <w:tcW w:w="8125" w:type="dxa"/>
            <w:gridSpan w:val="5"/>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公用经费合计</w:t>
            </w:r>
          </w:p>
        </w:tc>
        <w:tc>
          <w:tcPr>
            <w:tcW w:w="20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0"/>
                <w:szCs w:val="20"/>
                <w:u w:val="none"/>
                <w:lang w:val="en-US" w:eastAsia="zh-CN" w:bidi="ar"/>
              </w:rPr>
              <w:t>74.48</w:t>
            </w:r>
          </w:p>
        </w:tc>
      </w:tr>
      <w:tr>
        <w:tblPrEx>
          <w:tblCellMar>
            <w:top w:w="0" w:type="dxa"/>
            <w:left w:w="108" w:type="dxa"/>
            <w:bottom w:w="0" w:type="dxa"/>
            <w:right w:w="108" w:type="dxa"/>
          </w:tblCellMar>
        </w:tblPrEx>
        <w:trPr>
          <w:trHeight w:val="284" w:hRule="exact"/>
        </w:trPr>
        <w:tc>
          <w:tcPr>
            <w:tcW w:w="15851"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firstLine="420" w:firstLineChars="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湖南省体育科学研究所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2021年                                                              </w:t>
      </w:r>
      <w:r>
        <w:rPr>
          <w:rFonts w:ascii="Times New Roman" w:hAnsi="Times New Roman" w:eastAsia="仿宋_GB2312" w:cs="Times New Roman"/>
          <w:color w:val="000000"/>
          <w:kern w:val="0"/>
          <w:szCs w:val="21"/>
        </w:rPr>
        <w:t>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 xml:space="preserve">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p>
    <w:p>
      <w:pPr>
        <w:widowControl/>
        <w:ind w:right="525"/>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w:t>
      </w:r>
      <w:r>
        <w:rPr>
          <w:rFonts w:hint="eastAsia" w:ascii="Times New Roman" w:hAnsi="Times New Roman" w:eastAsia="仿宋_GB2312" w:cs="Times New Roman"/>
          <w:color w:val="000000"/>
          <w:kern w:val="0"/>
          <w:szCs w:val="21"/>
          <w:lang w:eastAsia="zh-CN"/>
        </w:rPr>
        <w:t>万</w:t>
      </w:r>
      <w:r>
        <w:rPr>
          <w:rFonts w:ascii="Times New Roman" w:hAnsi="Times New Roman" w:eastAsia="仿宋_GB2312" w:cs="Times New Roman"/>
          <w:color w:val="000000"/>
          <w:kern w:val="0"/>
          <w:szCs w:val="21"/>
        </w:rPr>
        <w:t>元</w:t>
      </w:r>
    </w:p>
    <w:tbl>
      <w:tblPr>
        <w:tblStyle w:val="7"/>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0.45</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0.45</w:t>
            </w:r>
          </w:p>
        </w:tc>
      </w:tr>
    </w:tbl>
    <w:p>
      <w:pPr>
        <w:widowControl/>
        <w:jc w:val="left"/>
        <w:textAlignment w:val="center"/>
        <w:rPr>
          <w:rFonts w:ascii="宋体" w:eastAsia="宋体" w:cs="宋体"/>
          <w:kern w:val="0"/>
          <w:sz w:val="24"/>
          <w:szCs w:val="24"/>
        </w:rPr>
      </w:pPr>
      <w:r>
        <w:rPr>
          <w:rFonts w:hint="eastAsia" w:ascii="宋体" w:hAnsi="宋体" w:eastAsia="宋体" w:cs="宋体"/>
          <w:color w:val="000000"/>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宋体" w:hAnsi="宋体" w:eastAsia="宋体" w:cs="宋体"/>
          <w:color w:val="000000"/>
          <w:kern w:val="0"/>
          <w:sz w:val="22"/>
        </w:rPr>
        <w:t xml:space="preserve">湖南省体育科学研究所                                 </w:t>
      </w:r>
      <w:r>
        <w:rPr>
          <w:rFonts w:hint="eastAsia" w:ascii="Times New Roman" w:hAnsi="Times New Roman" w:eastAsia="仿宋_GB2312" w:cs="Times New Roman"/>
          <w:color w:val="000000"/>
          <w:kern w:val="0"/>
          <w:szCs w:val="21"/>
        </w:rPr>
        <w:t>2021年度</w:t>
      </w:r>
      <w:r>
        <w:rPr>
          <w:rFonts w:ascii="Times New Roman" w:hAnsi="Times New Roman" w:eastAsia="仿宋_GB2312" w:cs="Times New Roman"/>
          <w:color w:val="000000"/>
          <w:kern w:val="0"/>
          <w:szCs w:val="21"/>
        </w:rPr>
        <w:t xml:space="preserve">                                           公开08表</w:t>
      </w:r>
    </w:p>
    <w:p>
      <w:pPr>
        <w:widowControl/>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w:t>
      </w:r>
      <w:r>
        <w:rPr>
          <w:rFonts w:hint="eastAsia" w:ascii="Times New Roman" w:hAnsi="Times New Roman" w:eastAsia="仿宋_GB2312" w:cs="Times New Roman"/>
          <w:color w:val="000000"/>
          <w:kern w:val="0"/>
          <w:szCs w:val="21"/>
          <w:lang w:eastAsia="zh-CN"/>
        </w:rPr>
        <w:t>万</w:t>
      </w:r>
      <w:r>
        <w:rPr>
          <w:rFonts w:ascii="Times New Roman" w:hAnsi="Times New Roman" w:eastAsia="仿宋_GB2312" w:cs="Times New Roman"/>
          <w:color w:val="000000"/>
          <w:kern w:val="0"/>
          <w:szCs w:val="21"/>
        </w:rPr>
        <w:t>元</w:t>
      </w:r>
    </w:p>
    <w:tbl>
      <w:tblPr>
        <w:tblStyle w:val="7"/>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6"/>
        <w:gridCol w:w="1589"/>
        <w:gridCol w:w="1137"/>
        <w:gridCol w:w="1797"/>
        <w:gridCol w:w="1829"/>
        <w:gridCol w:w="1829"/>
        <w:gridCol w:w="1717"/>
        <w:gridCol w:w="1829"/>
        <w:gridCol w:w="17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642"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 目</w:t>
            </w:r>
          </w:p>
        </w:tc>
        <w:tc>
          <w:tcPr>
            <w:tcW w:w="1797"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1829"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5375"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1797"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05" w:type="dxa"/>
            <w:gridSpan w:val="2"/>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137"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1797" w:type="dxa"/>
            <w:vMerge w:val="continue"/>
            <w:vAlign w:val="center"/>
          </w:tcPr>
          <w:p>
            <w:pPr>
              <w:widowControl/>
              <w:jc w:val="left"/>
              <w:rPr>
                <w:rFonts w:ascii="Times New Roman" w:hAnsi="Times New Roman" w:eastAsia="仿宋_GB2312" w:cs="Times New Roman"/>
                <w:b/>
                <w:kern w:val="0"/>
                <w:szCs w:val="21"/>
              </w:rPr>
            </w:pPr>
          </w:p>
        </w:tc>
        <w:tc>
          <w:tcPr>
            <w:tcW w:w="1829" w:type="dxa"/>
            <w:vMerge w:val="continue"/>
            <w:vAlign w:val="center"/>
          </w:tcPr>
          <w:p>
            <w:pPr>
              <w:widowControl/>
              <w:jc w:val="left"/>
              <w:rPr>
                <w:rFonts w:ascii="Times New Roman" w:hAnsi="Times New Roman" w:eastAsia="仿宋_GB2312" w:cs="Times New Roman"/>
                <w:b/>
                <w:kern w:val="0"/>
                <w:szCs w:val="21"/>
              </w:rPr>
            </w:pPr>
          </w:p>
        </w:tc>
        <w:tc>
          <w:tcPr>
            <w:tcW w:w="1829"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1717"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1829"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1797"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05" w:type="dxa"/>
            <w:gridSpan w:val="2"/>
            <w:vMerge w:val="continue"/>
            <w:vAlign w:val="center"/>
          </w:tcPr>
          <w:p>
            <w:pPr>
              <w:widowControl/>
              <w:jc w:val="left"/>
              <w:rPr>
                <w:rFonts w:ascii="Times New Roman" w:hAnsi="Times New Roman" w:eastAsia="仿宋_GB2312" w:cs="Times New Roman"/>
                <w:kern w:val="0"/>
                <w:szCs w:val="21"/>
              </w:rPr>
            </w:pPr>
          </w:p>
        </w:tc>
        <w:tc>
          <w:tcPr>
            <w:tcW w:w="1137" w:type="dxa"/>
            <w:vMerge w:val="continue"/>
            <w:vAlign w:val="center"/>
          </w:tcPr>
          <w:p>
            <w:pPr>
              <w:widowControl/>
              <w:jc w:val="left"/>
              <w:rPr>
                <w:rFonts w:ascii="Times New Roman" w:hAnsi="Times New Roman" w:eastAsia="仿宋_GB2312" w:cs="Times New Roman"/>
                <w:kern w:val="0"/>
                <w:szCs w:val="21"/>
              </w:rPr>
            </w:pPr>
          </w:p>
        </w:tc>
        <w:tc>
          <w:tcPr>
            <w:tcW w:w="1797"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717"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797"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05" w:type="dxa"/>
            <w:gridSpan w:val="2"/>
            <w:vMerge w:val="continue"/>
            <w:vAlign w:val="center"/>
          </w:tcPr>
          <w:p>
            <w:pPr>
              <w:widowControl/>
              <w:jc w:val="left"/>
              <w:rPr>
                <w:rFonts w:ascii="Times New Roman" w:hAnsi="Times New Roman" w:eastAsia="仿宋_GB2312" w:cs="Times New Roman"/>
                <w:kern w:val="0"/>
                <w:szCs w:val="21"/>
              </w:rPr>
            </w:pPr>
          </w:p>
        </w:tc>
        <w:tc>
          <w:tcPr>
            <w:tcW w:w="1137" w:type="dxa"/>
            <w:vMerge w:val="continue"/>
            <w:vAlign w:val="center"/>
          </w:tcPr>
          <w:p>
            <w:pPr>
              <w:widowControl/>
              <w:jc w:val="left"/>
              <w:rPr>
                <w:rFonts w:ascii="Times New Roman" w:hAnsi="Times New Roman" w:eastAsia="仿宋_GB2312" w:cs="Times New Roman"/>
                <w:kern w:val="0"/>
                <w:szCs w:val="21"/>
              </w:rPr>
            </w:pPr>
          </w:p>
        </w:tc>
        <w:tc>
          <w:tcPr>
            <w:tcW w:w="1797"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717" w:type="dxa"/>
            <w:vMerge w:val="continue"/>
            <w:vAlign w:val="center"/>
          </w:tcPr>
          <w:p>
            <w:pPr>
              <w:widowControl/>
              <w:jc w:val="left"/>
              <w:rPr>
                <w:rFonts w:ascii="Times New Roman" w:hAnsi="Times New Roman" w:eastAsia="仿宋_GB2312" w:cs="Times New Roman"/>
                <w:kern w:val="0"/>
                <w:szCs w:val="21"/>
              </w:rPr>
            </w:pPr>
          </w:p>
        </w:tc>
        <w:tc>
          <w:tcPr>
            <w:tcW w:w="1829" w:type="dxa"/>
            <w:vMerge w:val="continue"/>
            <w:vAlign w:val="center"/>
          </w:tcPr>
          <w:p>
            <w:pPr>
              <w:widowControl/>
              <w:jc w:val="left"/>
              <w:rPr>
                <w:rFonts w:ascii="Times New Roman" w:hAnsi="Times New Roman" w:eastAsia="仿宋_GB2312" w:cs="Times New Roman"/>
                <w:kern w:val="0"/>
                <w:szCs w:val="21"/>
              </w:rPr>
            </w:pPr>
          </w:p>
        </w:tc>
        <w:tc>
          <w:tcPr>
            <w:tcW w:w="1797"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642" w:type="dxa"/>
            <w:gridSpan w:val="3"/>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栏次</w:t>
            </w:r>
          </w:p>
        </w:tc>
        <w:tc>
          <w:tcPr>
            <w:tcW w:w="1797"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1</w:t>
            </w:r>
          </w:p>
        </w:tc>
        <w:tc>
          <w:tcPr>
            <w:tcW w:w="1829"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w:t>
            </w:r>
          </w:p>
        </w:tc>
        <w:tc>
          <w:tcPr>
            <w:tcW w:w="1829"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w:t>
            </w:r>
          </w:p>
        </w:tc>
        <w:tc>
          <w:tcPr>
            <w:tcW w:w="1717"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4</w:t>
            </w:r>
          </w:p>
        </w:tc>
        <w:tc>
          <w:tcPr>
            <w:tcW w:w="1829"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5</w:t>
            </w:r>
          </w:p>
        </w:tc>
        <w:tc>
          <w:tcPr>
            <w:tcW w:w="1797" w:type="dxa"/>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642" w:type="dxa"/>
            <w:gridSpan w:val="3"/>
            <w:shd w:val="clear" w:color="auto" w:fill="auto"/>
            <w:vAlign w:val="center"/>
          </w:tcPr>
          <w:p>
            <w:pPr>
              <w:keepNext w:val="0"/>
              <w:keepLines w:val="0"/>
              <w:widowControl/>
              <w:suppressLineNumbers w:val="0"/>
              <w:jc w:val="both"/>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合计</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90.47</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395.00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1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0.00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55.04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16" w:type="dxa"/>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229</w:t>
            </w:r>
          </w:p>
        </w:tc>
        <w:tc>
          <w:tcPr>
            <w:tcW w:w="2726" w:type="dxa"/>
            <w:gridSpan w:val="2"/>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其他支出</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90.47</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395.00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1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0.00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55.04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16" w:type="dxa"/>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22960</w:t>
            </w:r>
          </w:p>
        </w:tc>
        <w:tc>
          <w:tcPr>
            <w:tcW w:w="2726" w:type="dxa"/>
            <w:gridSpan w:val="2"/>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彩票公益金安排的支出</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90.47</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395.00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1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0.00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430.43</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0"/>
                <w:szCs w:val="20"/>
                <w:u w:val="none"/>
                <w:lang w:val="en-US" w:eastAsia="zh-CN" w:bidi="ar"/>
              </w:rPr>
              <w:t>55.04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916" w:type="dxa"/>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2296003</w:t>
            </w:r>
          </w:p>
        </w:tc>
        <w:tc>
          <w:tcPr>
            <w:tcW w:w="2726" w:type="dxa"/>
            <w:gridSpan w:val="2"/>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90.47</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395.00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430.43</w:t>
            </w:r>
          </w:p>
        </w:tc>
        <w:tc>
          <w:tcPr>
            <w:tcW w:w="171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829"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430.43</w:t>
            </w:r>
          </w:p>
        </w:tc>
        <w:tc>
          <w:tcPr>
            <w:tcW w:w="1797" w:type="dxa"/>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55.04</w:t>
            </w:r>
          </w:p>
        </w:tc>
      </w:tr>
    </w:tbl>
    <w:p>
      <w:pPr>
        <w:widowControl/>
        <w:ind w:firstLine="600" w:firstLineChars="300"/>
        <w:jc w:val="left"/>
        <w:textAlignment w:val="center"/>
        <w:rPr>
          <w:rFonts w:hint="eastAsia" w:ascii="宋体" w:hAnsi="宋体" w:eastAsia="宋体" w:cs="宋体"/>
          <w:color w:val="000000"/>
          <w:kern w:val="0"/>
          <w:sz w:val="20"/>
          <w:szCs w:val="20"/>
          <w:lang w:eastAsia="zh-CN"/>
        </w:rPr>
      </w:pPr>
      <w:r>
        <w:rPr>
          <w:rFonts w:ascii="宋体" w:hAnsi="宋体" w:eastAsia="宋体" w:cs="宋体"/>
          <w:color w:val="000000"/>
          <w:kern w:val="0"/>
          <w:sz w:val="20"/>
          <w:szCs w:val="20"/>
        </w:rPr>
        <w:t>注：本表反映部门本年度政府性基金预算财政拨款收入、支出及结转和结余情况</w:t>
      </w:r>
      <w:r>
        <w:rPr>
          <w:rFonts w:hint="eastAsia" w:ascii="宋体" w:hAnsi="宋体" w:eastAsia="宋体" w:cs="宋体"/>
          <w:color w:val="000000"/>
          <w:kern w:val="0"/>
          <w:sz w:val="20"/>
          <w:szCs w:val="20"/>
          <w:lang w:eastAsia="zh-CN"/>
        </w:rPr>
        <w:t>。</w:t>
      </w:r>
    </w:p>
    <w:p>
      <w:pPr>
        <w:widowControl/>
        <w:jc w:val="left"/>
        <w:rPr>
          <w:rFonts w:ascii="黑体" w:hAnsi="黑体" w:eastAsia="黑体"/>
          <w:szCs w:val="21"/>
        </w:rPr>
      </w:pPr>
      <w:r>
        <w:rPr>
          <w:rFonts w:ascii="黑体" w:hAnsi="黑体" w:eastAsia="黑体"/>
          <w:szCs w:val="21"/>
        </w:rPr>
        <w:br w:type="page"/>
      </w:r>
    </w:p>
    <w:tbl>
      <w:tblPr>
        <w:tblStyle w:val="7"/>
        <w:tblW w:w="14935" w:type="dxa"/>
        <w:tblInd w:w="93" w:type="dxa"/>
        <w:tblLayout w:type="autofit"/>
        <w:tblCellMar>
          <w:top w:w="0" w:type="dxa"/>
          <w:left w:w="108" w:type="dxa"/>
          <w:bottom w:w="0" w:type="dxa"/>
          <w:right w:w="108" w:type="dxa"/>
        </w:tblCellMar>
      </w:tblPr>
      <w:tblGrid>
        <w:gridCol w:w="1060"/>
        <w:gridCol w:w="1649"/>
        <w:gridCol w:w="2126"/>
        <w:gridCol w:w="1225"/>
        <w:gridCol w:w="1895"/>
        <w:gridCol w:w="725"/>
        <w:gridCol w:w="2635"/>
        <w:gridCol w:w="3620"/>
      </w:tblGrid>
      <w:tr>
        <w:tblPrEx>
          <w:tblCellMar>
            <w:top w:w="0" w:type="dxa"/>
            <w:left w:w="108" w:type="dxa"/>
            <w:bottom w:w="0" w:type="dxa"/>
            <w:right w:w="108" w:type="dxa"/>
          </w:tblCellMar>
        </w:tblPrEx>
        <w:trPr>
          <w:trHeight w:val="720" w:hRule="atLeast"/>
        </w:trPr>
        <w:tc>
          <w:tcPr>
            <w:tcW w:w="14935" w:type="dxa"/>
            <w:gridSpan w:val="8"/>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649"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2126"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625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3775" w:type="dxa"/>
            <w:gridSpan w:val="2"/>
            <w:tcBorders>
              <w:top w:val="nil"/>
              <w:left w:val="nil"/>
              <w:bottom w:val="nil"/>
              <w:right w:val="nil"/>
            </w:tcBorders>
            <w:shd w:val="clear" w:color="000000" w:fill="FFFFFF"/>
            <w:vAlign w:val="center"/>
          </w:tcPr>
          <w:p>
            <w:pPr>
              <w:widowControl/>
              <w:rPr>
                <w:rFonts w:ascii="宋体" w:hAnsi="宋体" w:eastAsia="宋体" w:cs="宋体"/>
                <w:kern w:val="0"/>
                <w:sz w:val="20"/>
                <w:szCs w:val="20"/>
              </w:rPr>
            </w:pPr>
            <w:r>
              <w:rPr>
                <w:rFonts w:hint="eastAsia" w:ascii="宋体" w:hAnsi="宋体" w:eastAsia="宋体" w:cs="宋体"/>
                <w:color w:val="000000"/>
                <w:kern w:val="0"/>
                <w:sz w:val="22"/>
              </w:rPr>
              <w:t>湖南省体育科学研究所</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r>
              <w:rPr>
                <w:rFonts w:hint="eastAsia" w:ascii="Times New Roman" w:hAnsi="Times New Roman" w:eastAsia="仿宋_GB2312" w:cs="Times New Roman"/>
                <w:color w:val="000000"/>
                <w:kern w:val="0"/>
                <w:szCs w:val="21"/>
              </w:rPr>
              <w:t>2021年度</w:t>
            </w:r>
            <w:r>
              <w:rPr>
                <w:rFonts w:hint="eastAsia" w:ascii="宋体" w:hAnsi="宋体" w:eastAsia="宋体" w:cs="宋体"/>
                <w:kern w:val="0"/>
                <w:sz w:val="20"/>
                <w:szCs w:val="20"/>
              </w:rPr>
              <w:t>　</w:t>
            </w:r>
          </w:p>
        </w:tc>
        <w:tc>
          <w:tcPr>
            <w:tcW w:w="625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color w:val="000000"/>
                <w:kern w:val="0"/>
                <w:sz w:val="20"/>
                <w:szCs w:val="20"/>
                <w:lang w:eastAsia="zh-CN"/>
              </w:rPr>
              <w:t>万</w:t>
            </w:r>
            <w:r>
              <w:rPr>
                <w:rFonts w:hint="eastAsia" w:ascii="宋体" w:hAnsi="宋体" w:eastAsia="宋体" w:cs="宋体"/>
                <w:color w:val="000000"/>
                <w:kern w:val="0"/>
                <w:sz w:val="20"/>
                <w:szCs w:val="20"/>
              </w:rPr>
              <w:t>元</w:t>
            </w:r>
          </w:p>
        </w:tc>
      </w:tr>
      <w:tr>
        <w:trPr>
          <w:trHeight w:val="402" w:hRule="atLeast"/>
        </w:trPr>
        <w:tc>
          <w:tcPr>
            <w:tcW w:w="4835" w:type="dxa"/>
            <w:gridSpan w:val="3"/>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100"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312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336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6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2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3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2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3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rPr>
          <w:trHeight w:val="402" w:hRule="atLeast"/>
        </w:trPr>
        <w:tc>
          <w:tcPr>
            <w:tcW w:w="4835" w:type="dxa"/>
            <w:gridSpan w:val="3"/>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31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36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3"/>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31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c>
          <w:tcPr>
            <w:tcW w:w="336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c>
          <w:tcPr>
            <w:tcW w:w="3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2709"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0</w:t>
            </w:r>
          </w:p>
        </w:tc>
        <w:tc>
          <w:tcPr>
            <w:tcW w:w="2126"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 xml:space="preserve">        0</w:t>
            </w:r>
          </w:p>
        </w:tc>
        <w:tc>
          <w:tcPr>
            <w:tcW w:w="312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 xml:space="preserve">          0</w:t>
            </w:r>
          </w:p>
        </w:tc>
        <w:tc>
          <w:tcPr>
            <w:tcW w:w="3360"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 xml:space="preserve">           0</w:t>
            </w:r>
          </w:p>
        </w:tc>
        <w:tc>
          <w:tcPr>
            <w:tcW w:w="3620" w:type="dxa"/>
            <w:tcBorders>
              <w:top w:val="nil"/>
              <w:left w:val="nil"/>
              <w:bottom w:val="single" w:color="auto" w:sz="4" w:space="0"/>
              <w:right w:val="single" w:color="auto" w:sz="4" w:space="0"/>
            </w:tcBorders>
            <w:shd w:val="clear" w:color="auto" w:fill="auto"/>
            <w:vAlign w:val="center"/>
          </w:tcPr>
          <w:p>
            <w:pPr>
              <w:widowControl/>
              <w:ind w:firstLine="1440" w:firstLineChars="60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 xml:space="preserve">0 </w:t>
            </w:r>
          </w:p>
        </w:tc>
      </w:tr>
      <w:tr>
        <w:tblPrEx>
          <w:tblCellMar>
            <w:top w:w="0" w:type="dxa"/>
            <w:left w:w="108" w:type="dxa"/>
            <w:bottom w:w="0" w:type="dxa"/>
            <w:right w:w="108" w:type="dxa"/>
          </w:tblCellMar>
        </w:tblPrEx>
        <w:trPr>
          <w:trHeight w:val="720" w:hRule="atLeast"/>
        </w:trPr>
        <w:tc>
          <w:tcPr>
            <w:tcW w:w="14935" w:type="dxa"/>
            <w:gridSpan w:val="8"/>
            <w:tcBorders>
              <w:top w:val="single" w:color="auto" w:sz="4" w:space="0"/>
              <w:left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tc>
      </w:tr>
      <w:tr>
        <w:trPr>
          <w:trHeight w:val="720" w:hRule="atLeast"/>
        </w:trPr>
        <w:tc>
          <w:tcPr>
            <w:tcW w:w="14935" w:type="dxa"/>
            <w:gridSpan w:val="8"/>
            <w:tcBorders>
              <w:left w:val="nil"/>
              <w:bottom w:val="nil"/>
              <w:right w:val="nil"/>
            </w:tcBorders>
            <w:shd w:val="clear" w:color="auto" w:fill="auto"/>
            <w:vAlign w:val="center"/>
          </w:tcPr>
          <w:p>
            <w:pPr>
              <w:widowControl/>
              <w:jc w:val="left"/>
              <w:rPr>
                <w:rFonts w:hint="eastAsia" w:ascii="宋体" w:hAnsi="宋体" w:eastAsia="宋体" w:cs="宋体"/>
                <w:kern w:val="0"/>
                <w:sz w:val="24"/>
                <w:szCs w:val="24"/>
                <w:lang w:eastAsia="zh-CN"/>
              </w:rPr>
            </w:pPr>
            <w:r>
              <w:rPr>
                <w:rFonts w:hint="eastAsia" w:ascii="方正楷体_GBK" w:hAnsi="方正楷体_GBK" w:eastAsia="方正楷体_GBK" w:cs="方正楷体_GBK"/>
                <w:b/>
                <w:bCs/>
                <w:kern w:val="0"/>
                <w:sz w:val="28"/>
                <w:szCs w:val="28"/>
                <w:lang w:eastAsia="zh-CN"/>
              </w:rPr>
              <w:t>说明：湖南省体育科学研究所没有使用国有资产经营预算安排支出，故本表无数据。</w:t>
            </w:r>
          </w:p>
        </w:tc>
      </w:tr>
    </w:tbl>
    <w:p>
      <w:pPr>
        <w:pStyle w:val="11"/>
        <w:rPr>
          <w:sz w:val="72"/>
          <w:szCs w:val="72"/>
        </w:rPr>
        <w:sectPr>
          <w:pgSz w:w="16838" w:h="11906" w:orient="landscape"/>
          <w:pgMar w:top="720" w:right="720" w:bottom="720" w:left="720" w:header="851" w:footer="992" w:gutter="0"/>
          <w:cols w:space="425" w:num="1"/>
          <w:docGrid w:type="lines" w:linePitch="312" w:charSpace="0"/>
        </w:sectPr>
      </w:pPr>
    </w:p>
    <w:p>
      <w:pPr>
        <w:pStyle w:val="11"/>
        <w:rPr>
          <w:sz w:val="72"/>
          <w:szCs w:val="72"/>
        </w:rPr>
      </w:pPr>
    </w:p>
    <w:p>
      <w:pPr>
        <w:pStyle w:val="11"/>
        <w:rPr>
          <w:sz w:val="72"/>
          <w:szCs w:val="72"/>
        </w:rPr>
      </w:pPr>
    </w:p>
    <w:p>
      <w:pPr>
        <w:pStyle w:val="11"/>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2"/>
          <w:szCs w:val="72"/>
        </w:rPr>
      </w:pPr>
    </w:p>
    <w:p>
      <w:pPr>
        <w:pStyle w:val="11"/>
        <w:jc w:val="center"/>
        <w:rPr>
          <w:sz w:val="72"/>
          <w:szCs w:val="72"/>
        </w:rPr>
      </w:pPr>
      <w:r>
        <w:rPr>
          <w:sz w:val="72"/>
          <w:szCs w:val="72"/>
        </w:rPr>
        <w:t>20</w:t>
      </w:r>
      <w:r>
        <w:rPr>
          <w:rFonts w:hint="eastAsia"/>
          <w:sz w:val="72"/>
          <w:szCs w:val="72"/>
        </w:rPr>
        <w:t>21年度部门决算情况说明</w:t>
      </w:r>
    </w:p>
    <w:p>
      <w:pPr>
        <w:pStyle w:val="11"/>
        <w:jc w:val="center"/>
        <w:rPr>
          <w:sz w:val="72"/>
          <w:szCs w:val="72"/>
        </w:rPr>
      </w:pPr>
      <w:r>
        <w:rPr>
          <w:sz w:val="72"/>
          <w:szCs w:val="72"/>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2021年度收、支总计2308.19万元。与上年相比，减少434.33万元，减少15.84%，主要是收入减少</w:t>
      </w:r>
      <w:r>
        <w:rPr>
          <w:rFonts w:hint="eastAsia" w:asciiTheme="minorEastAsia" w:hAnsiTheme="minorEastAsia" w:eastAsiaTheme="minorEastAsia"/>
          <w:sz w:val="32"/>
          <w:szCs w:val="32"/>
          <w:lang w:eastAsia="zh-CN"/>
        </w:rPr>
        <w:t>引起的</w:t>
      </w:r>
      <w:r>
        <w:rPr>
          <w:rFonts w:hint="eastAsia" w:asciiTheme="minorEastAsia" w:hAnsiTheme="minorEastAsia" w:eastAsiaTheme="minorEastAsia"/>
          <w:sz w:val="32"/>
          <w:szCs w:val="32"/>
        </w:rPr>
        <w:t>收支减少。</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2021年度收入合计1135.47万元，其中：财政拨款收入1135.47万元，占100%。</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2021年度支出合计1172.72万元，其中：基本支出537.10万元，占45.80%；项目支出635.62万元，占54.20%。</w:t>
      </w:r>
    </w:p>
    <w:p>
      <w:pPr>
        <w:pStyle w:val="11"/>
        <w:rPr>
          <w:rFonts w:hAnsi="黑体"/>
          <w:b/>
          <w:sz w:val="32"/>
          <w:szCs w:val="32"/>
        </w:rPr>
      </w:pPr>
      <w:r>
        <w:rPr>
          <w:rFonts w:hint="eastAsia" w:hAnsi="黑体"/>
          <w:b/>
          <w:sz w:val="32"/>
          <w:szCs w:val="32"/>
        </w:rPr>
        <w:t>四、财政拨款收入支出决算总体情况说明</w:t>
      </w:r>
    </w:p>
    <w:p>
      <w:pPr>
        <w:pStyle w:val="11"/>
        <w:ind w:firstLine="63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2021年度财政拨款收、支总计2308.19万元，与上年相比，减少434.33万元，减少15.84%，主要是财政拨款收入减少</w:t>
      </w:r>
      <w:r>
        <w:rPr>
          <w:rFonts w:hint="eastAsia" w:asciiTheme="minorEastAsia" w:hAnsiTheme="minorEastAsia" w:eastAsiaTheme="minorEastAsia"/>
          <w:sz w:val="32"/>
          <w:szCs w:val="32"/>
          <w:lang w:eastAsia="zh-CN"/>
        </w:rPr>
        <w:t>引起的</w:t>
      </w:r>
      <w:r>
        <w:rPr>
          <w:rFonts w:hint="eastAsia" w:asciiTheme="minorEastAsia" w:hAnsiTheme="minorEastAsia" w:eastAsiaTheme="minorEastAsia"/>
          <w:sz w:val="32"/>
          <w:szCs w:val="32"/>
        </w:rPr>
        <w:t>收支减少。</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2021年度财政拨款支出1172.72万元，占本年支出合计的100%，与上年相比，财政拨款支出减少268.82</w:t>
      </w:r>
      <w:r>
        <w:rPr>
          <w:rFonts w:asciiTheme="minorEastAsia" w:hAnsiTheme="minorEastAsia" w:eastAsiaTheme="minorEastAsia"/>
          <w:sz w:val="32"/>
          <w:szCs w:val="32"/>
        </w:rPr>
        <w:tab/>
      </w:r>
      <w:r>
        <w:rPr>
          <w:rFonts w:hint="eastAsia" w:asciiTheme="minorEastAsia" w:hAnsiTheme="minorEastAsia" w:eastAsiaTheme="minorEastAsia"/>
          <w:sz w:val="32"/>
          <w:szCs w:val="32"/>
        </w:rPr>
        <w:t>万元，减少18.64%，主要是因为财政拨款收入减少，财政拨款支出减少。</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1172.72万元，主要用于以下方面：科学技术（类）支出481.76万元，占41.08%；文化旅游体育与传媒（类）支出159.17万元，占13.57%;社会保障和就业（类）支出43.50万元，占3.71%;住房保障（类）支出57.86万元，占4.93%;其他支出430.43万元，占36.70%。</w:t>
      </w:r>
    </w:p>
    <w:p>
      <w:pPr>
        <w:pStyle w:val="11"/>
        <w:ind w:firstLine="470" w:firstLineChars="147"/>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2021年度财政拨款支出年初预算数为619.27万元，支出决算数为1172.72万元，完成年初预算的189.37%，决算数大于年初预算数的主要原因是：年中追加了项目支出预算。</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537.10万元，其中：人员经费462.61万元，占基本支出的86.13%,主要包括基本工资、津贴补贴、绩效工资、机关事业单位基本养老保险缴费、职工基本医疗保险缴费、其他社会保障缴费、住房公积金、离休费、退休费、其他对个人和家庭的补助；公用经费74.48万元，占基本支出的13.87%，主要包括办公费、印刷费、维修（护）费、水费、电费、福利费、工会费、其他交通费、公务接待费、其他商品服务支出。</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2021年度“三公”经费财政拨款支出预算为1万元，支出决算为0.45万元，完成预算的45%，其中：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因公出国（境）费支出预算为0万元，支出决算为0万元，决算数等于预算数。</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公务接待费支出预算为1万元，支出决算为0.45万元，完成预算的45%，决算数小于预算数的主要原因是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单位严格控制了三公经费的开</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与上年相比减少0.01万元，减少2%,减少的主要原因是单位严格控制了三公经费的开支。</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公务用车购置费支出预算为0万元，支出决算为0万元，决算数等于预算数。</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公务用车运行维护费支出预算为0万元，支出决算为0万元，决算数等于预算数。</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2021年度“三公”经费财政拨款支出决算中，公务接待费支出决算0.45万元，占100%,因公出国（境）费支出决算0万元,公务用车购置费及运行维护费支出决算0万元。其中：</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2、公务接待费支出决算为0.45万元，全年共接待来访团组6个、来宾46人次，主要是反兴奋剂和群众体育工作发生的接待支出。</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w:t>
      </w:r>
      <w:r>
        <w:rPr>
          <w:rFonts w:hint="eastAsia" w:asciiTheme="minorEastAsia" w:hAnsiTheme="minorEastAsia"/>
          <w:sz w:val="32"/>
          <w:szCs w:val="32"/>
          <w:lang w:eastAsia="zh-CN"/>
        </w:rPr>
        <w:t>我单位</w:t>
      </w:r>
      <w:r>
        <w:rPr>
          <w:rFonts w:hint="eastAsia" w:ascii="Times New Roman" w:hAnsi="Times New Roman" w:cs="Times New Roman" w:eastAsiaTheme="minorEastAsia"/>
          <w:color w:val="auto"/>
          <w:kern w:val="2"/>
          <w:sz w:val="32"/>
          <w:szCs w:val="32"/>
          <w:highlight w:val="none"/>
          <w:lang w:val="en-US" w:eastAsia="zh-CN" w:bidi="ar-SA"/>
        </w:rPr>
        <w:t>更新公务用车0辆。</w:t>
      </w:r>
      <w:r>
        <w:rPr>
          <w:rFonts w:hint="default" w:ascii="Times New Roman" w:hAnsi="Times New Roman" w:cs="Times New Roman" w:eastAsiaTheme="minorEastAsia"/>
          <w:color w:val="auto"/>
          <w:kern w:val="2"/>
          <w:sz w:val="32"/>
          <w:szCs w:val="32"/>
          <w:highlight w:val="none"/>
          <w:lang w:val="en-US" w:eastAsia="zh-CN" w:bidi="ar-SA"/>
        </w:rPr>
        <w:t>公务用车运行维护费0.00万元，截止202</w:t>
      </w:r>
      <w:r>
        <w:rPr>
          <w:rFonts w:hint="eastAsia" w:ascii="Times New Roman" w:hAnsi="Times New Roman" w:cs="Times New Roman" w:eastAsiaTheme="minorEastAsia"/>
          <w:color w:val="auto"/>
          <w:kern w:val="2"/>
          <w:sz w:val="32"/>
          <w:szCs w:val="32"/>
          <w:highlight w:val="none"/>
          <w:lang w:val="en-US" w:eastAsia="zh-CN" w:bidi="ar-SA"/>
        </w:rPr>
        <w:t>1</w:t>
      </w:r>
      <w:r>
        <w:rPr>
          <w:rFonts w:hint="default" w:ascii="Times New Roman" w:hAnsi="Times New Roman" w:cs="Times New Roman" w:eastAsiaTheme="minorEastAsia"/>
          <w:color w:val="auto"/>
          <w:kern w:val="2"/>
          <w:sz w:val="32"/>
          <w:szCs w:val="32"/>
          <w:highlight w:val="none"/>
          <w:lang w:val="en-US" w:eastAsia="zh-CN" w:bidi="ar-SA"/>
        </w:rPr>
        <w:t>年12月31日，</w:t>
      </w:r>
      <w:r>
        <w:rPr>
          <w:rFonts w:hint="eastAsia" w:asciiTheme="minorEastAsia" w:hAnsiTheme="minorEastAsia"/>
          <w:sz w:val="32"/>
          <w:szCs w:val="32"/>
          <w:lang w:eastAsia="zh-CN"/>
        </w:rPr>
        <w:t>我单位使</w:t>
      </w:r>
      <w:r>
        <w:rPr>
          <w:rFonts w:hint="default" w:ascii="Times New Roman" w:hAnsi="Times New Roman" w:cs="Times New Roman" w:eastAsiaTheme="minorEastAsia"/>
          <w:color w:val="auto"/>
          <w:kern w:val="2"/>
          <w:sz w:val="32"/>
          <w:szCs w:val="32"/>
          <w:highlight w:val="none"/>
          <w:lang w:val="en-US" w:eastAsia="zh-CN" w:bidi="ar-SA"/>
        </w:rPr>
        <w:t>开财政拨款的公务用车保有量为0辆。</w:t>
      </w:r>
      <w:bookmarkStart w:id="3" w:name="_GoBack"/>
      <w:bookmarkEnd w:id="3"/>
    </w:p>
    <w:p>
      <w:pPr>
        <w:pStyle w:val="11"/>
        <w:rPr>
          <w:rFonts w:hAnsi="黑体"/>
          <w:b/>
          <w:sz w:val="32"/>
          <w:szCs w:val="32"/>
        </w:rPr>
      </w:pPr>
      <w:r>
        <w:rPr>
          <w:rFonts w:hint="eastAsia" w:hAnsi="黑体"/>
          <w:b/>
          <w:sz w:val="32"/>
          <w:szCs w:val="32"/>
        </w:rPr>
        <w:t>八、政府性基金预算收入支出决算情况</w:t>
      </w:r>
    </w:p>
    <w:p>
      <w:pPr>
        <w:pStyle w:val="11"/>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2021年度政府性基金预算财政拨款收入395万元；年初结转和结余90.47万元；支出430.43万元，其中基本支出0万元，项目支出430.43万元；年末结转和结余55.04万元。具体情况如下：</w:t>
      </w:r>
      <w:r>
        <w:rPr>
          <w:rFonts w:asciiTheme="minorEastAsia" w:hAnsiTheme="minorEastAsia" w:eastAsiaTheme="minorEastAsia"/>
          <w:i/>
          <w:color w:val="FF0000"/>
          <w:sz w:val="32"/>
          <w:szCs w:val="32"/>
        </w:rPr>
        <w:t xml:space="preserve"> </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1、用于体育事业的彩票公益金支出。</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年初预算为0万元，支出决算为430.43万元，决算数大于年初预算数的主要原因是：年中追加项目支出预算</w:t>
      </w:r>
      <w:r>
        <w:rPr>
          <w:rFonts w:hint="eastAsia" w:asciiTheme="minorEastAsia" w:hAnsiTheme="minorEastAsia" w:eastAsiaTheme="minorEastAsia"/>
          <w:sz w:val="32"/>
          <w:szCs w:val="32"/>
          <w:lang w:eastAsia="zh-CN"/>
        </w:rPr>
        <w:t>和上年结转项目资金下达</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九、机关运行经费支出说明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本部门2021年度机关运行经费支出0万元。</w:t>
      </w:r>
    </w:p>
    <w:p>
      <w:pPr>
        <w:pStyle w:val="11"/>
        <w:rPr>
          <w:rFonts w:hAnsi="黑体"/>
          <w:b/>
          <w:sz w:val="32"/>
          <w:szCs w:val="32"/>
        </w:rPr>
      </w:pPr>
      <w:r>
        <w:rPr>
          <w:rFonts w:hint="eastAsia" w:hAnsi="黑体"/>
          <w:b/>
          <w:sz w:val="32"/>
          <w:szCs w:val="32"/>
        </w:rPr>
        <w:t>十、一般性支出情况说明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2021年本部门开支会议费0.34万元，用于召开课题</w:t>
      </w:r>
      <w:r>
        <w:rPr>
          <w:rFonts w:hint="eastAsia" w:asciiTheme="minorEastAsia" w:hAnsiTheme="minorEastAsia" w:eastAsiaTheme="minorEastAsia"/>
          <w:sz w:val="32"/>
          <w:szCs w:val="32"/>
          <w:lang w:eastAsia="zh-CN"/>
        </w:rPr>
        <w:t>讨论</w:t>
      </w:r>
      <w:r>
        <w:rPr>
          <w:rFonts w:hint="eastAsia" w:asciiTheme="minorEastAsia" w:hAnsiTheme="minorEastAsia" w:eastAsiaTheme="minorEastAsia"/>
          <w:sz w:val="32"/>
          <w:szCs w:val="32"/>
        </w:rPr>
        <w:t>会议，人数23人，内容为“基于智能手机的自助式国民体质测定和运动促进方法研究及示范”课题会议费；开支培训费1.39万元，用于开展课题培训和年度继续教育，人数7人，内容为“基于智能手机的自助式国民体质测定和运动促进方法研究及示范”课题培训费及年度继续教育。</w:t>
      </w:r>
    </w:p>
    <w:p>
      <w:pPr>
        <w:pStyle w:val="11"/>
        <w:rPr>
          <w:rFonts w:hAnsi="黑体"/>
          <w:b/>
          <w:sz w:val="32"/>
          <w:szCs w:val="32"/>
        </w:rPr>
      </w:pPr>
      <w:r>
        <w:rPr>
          <w:rFonts w:hint="eastAsia" w:hAnsi="黑体"/>
          <w:b/>
          <w:sz w:val="32"/>
          <w:szCs w:val="32"/>
        </w:rPr>
        <w:t>十一、政府采购支出说明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358.83万元，其中：政府采购货物支出358.83万元、政府采购工程支出0万元、政府采购服务支出0万元。授予中小企业合同金额289.16万元，占政府采购支出总额的80.6%，其中：货物采购授予中小企业合同金额占货物支出金额的80.6%，工程采购授予中小企业合同金额占工程支出金额的0%，服务采购授予中小企业合同金额占服务支出金额的0%。</w:t>
      </w:r>
    </w:p>
    <w:p>
      <w:pPr>
        <w:pStyle w:val="11"/>
        <w:rPr>
          <w:rFonts w:hAnsi="黑体"/>
          <w:b/>
          <w:sz w:val="32"/>
          <w:szCs w:val="32"/>
        </w:rPr>
      </w:pPr>
      <w:r>
        <w:rPr>
          <w:rFonts w:hint="eastAsia" w:hAnsi="黑体"/>
          <w:b/>
          <w:sz w:val="32"/>
          <w:szCs w:val="32"/>
        </w:rPr>
        <w:t>十二、国有资产占用情况说明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0辆，其中，主要领导干部用车0辆，机要通信用车0辆、应急保障用车0辆、执法执勤用车0辆、特种专业技术用车0辆、其他用车0辆；单位价值50万元以上通用设备0台（套）；单位价值100万元以上专用设备1台（套）。</w:t>
      </w:r>
    </w:p>
    <w:p>
      <w:pPr>
        <w:pStyle w:val="2"/>
        <w:bidi w:val="0"/>
        <w:outlineLvl w:val="0"/>
      </w:pPr>
      <w:r>
        <w:rPr>
          <w:rFonts w:hint="eastAsia"/>
        </w:rPr>
        <w:t>十三、关于202</w:t>
      </w:r>
      <w:r>
        <w:rPr>
          <w:rFonts w:hint="eastAsia"/>
          <w:lang w:val="en-US" w:eastAsia="zh-CN"/>
        </w:rPr>
        <w:t>1</w:t>
      </w:r>
      <w:r>
        <w:rPr>
          <w:rFonts w:hint="eastAsia"/>
        </w:rPr>
        <w:t>年度预算绩效情况的说明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2021年共产党建党一百周年，我单位坚持以习近平新时代中国特色社会主义思想和习近平总书记考察湖南重要讲话精神为指导，深入学习贯彻党的十九大及十九届四中、五中全会精神，大力实施“三高四新”战略，在单位领导的大力支持下，围绕</w:t>
      </w:r>
      <w:r>
        <w:rPr>
          <w:rFonts w:hint="eastAsia" w:asciiTheme="minorEastAsia" w:hAnsiTheme="minorEastAsia" w:eastAsiaTheme="minorEastAsia"/>
          <w:sz w:val="32"/>
          <w:szCs w:val="32"/>
        </w:rPr>
        <w:t>群众体育和竞技体育的科学研究</w:t>
      </w:r>
      <w:r>
        <w:rPr>
          <w:rFonts w:hint="eastAsia" w:asciiTheme="minorEastAsia" w:hAnsiTheme="minorEastAsia" w:eastAsiaTheme="minorEastAsia"/>
          <w:sz w:val="32"/>
          <w:szCs w:val="32"/>
          <w:lang w:eastAsia="zh-CN"/>
        </w:rPr>
        <w:t>工作，</w:t>
      </w:r>
      <w:r>
        <w:rPr>
          <w:rFonts w:hint="eastAsia" w:asciiTheme="minorEastAsia" w:hAnsiTheme="minorEastAsia" w:eastAsiaTheme="minorEastAsia"/>
          <w:sz w:val="32"/>
          <w:szCs w:val="32"/>
          <w:lang w:val="en-US" w:eastAsia="zh-CN"/>
        </w:rPr>
        <w:t xml:space="preserve">规范管理，提升能力，锐意创新，全面完成上级部门的各项工作任务，全力服务支撑体育事业高质量发展,我单位整体支出绩效自评得分99.5分。 </w:t>
      </w:r>
    </w:p>
    <w:p>
      <w:pPr>
        <w:pStyle w:val="11"/>
        <w:jc w:val="center"/>
        <w:rPr>
          <w:sz w:val="72"/>
          <w:szCs w:val="72"/>
        </w:rPr>
      </w:pPr>
    </w:p>
    <w:p>
      <w:pPr>
        <w:pStyle w:val="11"/>
        <w:jc w:val="center"/>
        <w:rPr>
          <w:sz w:val="72"/>
          <w:szCs w:val="72"/>
        </w:rPr>
      </w:pPr>
    </w:p>
    <w:p>
      <w:pPr>
        <w:pStyle w:val="11"/>
        <w:jc w:val="center"/>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rFonts w:hint="eastAsia"/>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widowControl/>
        <w:ind w:firstLine="640" w:firstLineChars="200"/>
        <w:jc w:val="left"/>
        <w:rPr>
          <w:rFonts w:ascii="仿宋" w:hAnsi="仿宋" w:eastAsia="仿宋"/>
          <w:color w:val="000000"/>
          <w:sz w:val="32"/>
          <w:szCs w:val="32"/>
        </w:rPr>
      </w:pPr>
      <w:r>
        <w:rPr>
          <w:rStyle w:val="16"/>
          <w:rFonts w:hint="eastAsia" w:ascii="黑体" w:hAnsi="黑体"/>
        </w:rPr>
        <w:t>一、财政拨款收入：</w:t>
      </w:r>
      <w:r>
        <w:rPr>
          <w:rFonts w:hint="eastAsia" w:ascii="仿宋" w:hAnsi="仿宋" w:eastAsia="仿宋"/>
          <w:color w:val="000000"/>
          <w:kern w:val="0"/>
          <w:sz w:val="32"/>
          <w:szCs w:val="32"/>
        </w:rPr>
        <w:t xml:space="preserve">是指同级财政部门当年拨付的公共预算财政拨款和政府性基金预算财政拨款。 </w:t>
      </w:r>
    </w:p>
    <w:p>
      <w:pPr>
        <w:widowControl/>
        <w:ind w:firstLine="640" w:firstLineChars="200"/>
        <w:jc w:val="left"/>
        <w:rPr>
          <w:rFonts w:hint="eastAsia" w:ascii="仿宋" w:hAnsi="仿宋" w:eastAsia="仿宋"/>
          <w:color w:val="000000"/>
          <w:sz w:val="32"/>
          <w:szCs w:val="32"/>
        </w:rPr>
      </w:pPr>
      <w:r>
        <w:rPr>
          <w:rStyle w:val="16"/>
          <w:rFonts w:hint="eastAsia" w:ascii="黑体" w:hAnsi="黑体"/>
        </w:rPr>
        <w:t>二、基本支出：</w:t>
      </w:r>
      <w:r>
        <w:rPr>
          <w:rFonts w:hint="eastAsia" w:ascii="仿宋" w:hAnsi="仿宋" w:eastAsia="仿宋"/>
          <w:color w:val="000000"/>
          <w:kern w:val="0"/>
          <w:sz w:val="32"/>
          <w:szCs w:val="32"/>
        </w:rPr>
        <w:t xml:space="preserve">是指为保障机构正常运转、完成日常工作任务而发生的人员支出和公用支出。 </w:t>
      </w:r>
    </w:p>
    <w:p>
      <w:pPr>
        <w:widowControl/>
        <w:ind w:firstLine="640" w:firstLineChars="200"/>
        <w:jc w:val="left"/>
        <w:rPr>
          <w:rFonts w:hint="eastAsia" w:ascii="仿宋" w:hAnsi="仿宋" w:eastAsia="仿宋"/>
          <w:color w:val="000000"/>
          <w:sz w:val="32"/>
          <w:szCs w:val="32"/>
        </w:rPr>
      </w:pPr>
      <w:r>
        <w:rPr>
          <w:rStyle w:val="16"/>
          <w:rFonts w:hint="eastAsia" w:ascii="黑体" w:hAnsi="黑体"/>
        </w:rPr>
        <w:t>三、项目支出：</w:t>
      </w:r>
      <w:r>
        <w:rPr>
          <w:rFonts w:hint="eastAsia" w:ascii="仿宋" w:hAnsi="仿宋" w:eastAsia="仿宋"/>
          <w:color w:val="000000"/>
          <w:kern w:val="0"/>
          <w:sz w:val="32"/>
          <w:szCs w:val="32"/>
        </w:rPr>
        <w:t xml:space="preserve">是指在基本支出之外为完成特定的行政工作任务或事业发展目标所发生的支出。 </w:t>
      </w:r>
    </w:p>
    <w:p>
      <w:pPr>
        <w:widowControl/>
        <w:ind w:firstLine="640" w:firstLineChars="200"/>
        <w:jc w:val="left"/>
        <w:rPr>
          <w:rFonts w:hint="eastAsia" w:ascii="仿宋" w:hAnsi="仿宋" w:eastAsia="仿宋"/>
          <w:color w:val="000000"/>
          <w:sz w:val="32"/>
          <w:szCs w:val="32"/>
        </w:rPr>
      </w:pPr>
      <w:r>
        <w:rPr>
          <w:rStyle w:val="16"/>
          <w:rFonts w:hint="eastAsia" w:ascii="黑体" w:hAnsi="黑体"/>
        </w:rPr>
        <w:t>四、年初结转和结余：</w:t>
      </w:r>
      <w:r>
        <w:rPr>
          <w:rFonts w:hint="eastAsia" w:ascii="仿宋" w:hAnsi="仿宋" w:eastAsia="仿宋"/>
          <w:color w:val="000000"/>
          <w:kern w:val="0"/>
          <w:sz w:val="32"/>
          <w:szCs w:val="32"/>
        </w:rPr>
        <w:t xml:space="preserve">是指以前年度支出预算因客观条件未执行完毕、结转到本年度按规定继续使用的资金。 </w:t>
      </w:r>
    </w:p>
    <w:p>
      <w:pPr>
        <w:widowControl/>
        <w:ind w:firstLine="640" w:firstLineChars="200"/>
        <w:jc w:val="left"/>
        <w:rPr>
          <w:rFonts w:hint="eastAsia" w:ascii="仿宋" w:hAnsi="仿宋" w:eastAsia="仿宋"/>
          <w:color w:val="000000"/>
          <w:sz w:val="32"/>
          <w:szCs w:val="32"/>
        </w:rPr>
      </w:pPr>
      <w:r>
        <w:rPr>
          <w:rStyle w:val="16"/>
          <w:rFonts w:hint="eastAsia" w:ascii="黑体" w:hAnsi="黑体"/>
        </w:rPr>
        <w:t>五、年末结转和结余：</w:t>
      </w:r>
      <w:r>
        <w:rPr>
          <w:rFonts w:hint="eastAsia" w:ascii="仿宋" w:hAnsi="仿宋" w:eastAsia="仿宋"/>
          <w:color w:val="000000"/>
          <w:kern w:val="0"/>
          <w:sz w:val="32"/>
          <w:szCs w:val="32"/>
        </w:rPr>
        <w:t xml:space="preserve">是指本年度或以前年度预算安排、因客观条件发生变化无法按原计划实施，需要延迟到以后年度继续使用的资金。 </w:t>
      </w:r>
    </w:p>
    <w:p>
      <w:pPr>
        <w:widowControl/>
        <w:ind w:firstLine="640" w:firstLineChars="200"/>
        <w:jc w:val="left"/>
        <w:rPr>
          <w:rFonts w:hint="eastAsia" w:ascii="仿宋" w:hAnsi="仿宋" w:eastAsia="仿宋"/>
          <w:color w:val="000000"/>
          <w:kern w:val="0"/>
          <w:sz w:val="32"/>
          <w:szCs w:val="32"/>
        </w:rPr>
      </w:pPr>
      <w:r>
        <w:rPr>
          <w:rStyle w:val="16"/>
          <w:rFonts w:hint="eastAsia" w:ascii="黑体" w:hAnsi="黑体"/>
        </w:rPr>
        <w:t>六、</w:t>
      </w:r>
      <w:r>
        <w:rPr>
          <w:rStyle w:val="16"/>
          <w:rFonts w:hint="eastAsia"/>
        </w:rPr>
        <w:t>“三公”经费：</w:t>
      </w:r>
      <w:r>
        <w:rPr>
          <w:rFonts w:hint="eastAsia" w:ascii="仿宋" w:hAnsi="仿宋" w:eastAsia="仿宋"/>
          <w:color w:val="000000"/>
          <w:kern w:val="0"/>
          <w:sz w:val="32"/>
          <w:szCs w:val="32"/>
        </w:rPr>
        <w:t>是指部门用财政拨款安排的因公出国 （境）费、公务用车购置及运行维护费和公务接待费。</w:t>
      </w:r>
    </w:p>
    <w:p>
      <w:pPr>
        <w:widowControl/>
        <w:ind w:firstLine="640" w:firstLineChars="200"/>
        <w:jc w:val="left"/>
        <w:rPr>
          <w:rFonts w:hint="eastAsia" w:ascii="仿宋" w:hAnsi="仿宋" w:eastAsia="仿宋"/>
          <w:color w:val="000000"/>
          <w:kern w:val="0"/>
          <w:sz w:val="32"/>
          <w:szCs w:val="32"/>
        </w:rPr>
      </w:pPr>
      <w:r>
        <w:rPr>
          <w:rStyle w:val="16"/>
          <w:rFonts w:hint="eastAsia" w:ascii="黑体" w:hAnsi="黑体"/>
        </w:rPr>
        <w:t>七、人员经费：</w:t>
      </w:r>
      <w:r>
        <w:rPr>
          <w:rFonts w:hint="eastAsia" w:ascii="仿宋" w:hAnsi="仿宋" w:eastAsia="仿宋"/>
          <w:color w:val="000000"/>
          <w:sz w:val="32"/>
          <w:szCs w:val="32"/>
          <w:shd w:val="clear" w:color="auto" w:fill="FFFFFF"/>
        </w:rPr>
        <w:t>是指政府收支分类的支出经济分类科目中的“工资福利支出”和“对个人和家庭的补助”。具体定额项目包括：基本工资、津补贴及奖金、社会保险缴费、离退休费、医疗费、助学金、住房补贴、住房公积金和其他人员经费等。</w:t>
      </w:r>
      <w:r>
        <w:rPr>
          <w:rFonts w:hint="eastAsia" w:ascii="仿宋" w:hAnsi="仿宋" w:eastAsia="仿宋"/>
          <w:color w:val="000000"/>
          <w:kern w:val="0"/>
          <w:sz w:val="32"/>
          <w:szCs w:val="32"/>
        </w:rPr>
        <w:t xml:space="preserve"> </w:t>
      </w:r>
    </w:p>
    <w:p>
      <w:pPr>
        <w:widowControl/>
        <w:ind w:firstLine="640" w:firstLineChars="200"/>
        <w:jc w:val="left"/>
        <w:rPr>
          <w:rFonts w:hint="eastAsia" w:ascii="仿宋" w:hAnsi="仿宋" w:eastAsia="仿宋"/>
          <w:color w:val="000000"/>
          <w:sz w:val="32"/>
          <w:szCs w:val="32"/>
        </w:rPr>
      </w:pPr>
      <w:r>
        <w:rPr>
          <w:rStyle w:val="16"/>
          <w:rFonts w:hint="eastAsia" w:ascii="黑体" w:hAnsi="黑体"/>
        </w:rPr>
        <w:t>八、公用经费：</w:t>
      </w:r>
      <w:r>
        <w:rPr>
          <w:rFonts w:hint="eastAsia" w:ascii="仿宋" w:hAnsi="仿宋" w:eastAsia="仿宋"/>
          <w:color w:val="000000"/>
          <w:sz w:val="32"/>
          <w:szCs w:val="32"/>
          <w:shd w:val="clear" w:color="auto" w:fill="FFFFFF"/>
        </w:rPr>
        <w:t>是指政府收支分类的支出经济分类科目中的“商品和服务支出”和“其他资本性支出”中属于基本支出的项目，具体包括：办公费、日常印刷费、水费、电费、邮电费、办公冷暖费、物业管理费、交通费、差旅费、日常维修（护）费、会议费、办公</w:t>
      </w:r>
      <w:r>
        <w:rPr>
          <w:rFonts w:hint="eastAsia" w:ascii="仿宋" w:hAnsi="仿宋" w:eastAsia="仿宋"/>
          <w:color w:val="000000"/>
          <w:sz w:val="32"/>
          <w:szCs w:val="32"/>
          <w:shd w:val="clear" w:color="auto" w:fill="FFFFFF"/>
          <w:lang w:eastAsia="zh-CN"/>
        </w:rPr>
        <w:t>设备</w:t>
      </w:r>
      <w:r>
        <w:rPr>
          <w:rFonts w:hint="eastAsia" w:ascii="仿宋" w:hAnsi="仿宋" w:eastAsia="仿宋"/>
          <w:color w:val="000000"/>
          <w:sz w:val="32"/>
          <w:szCs w:val="32"/>
          <w:shd w:val="clear" w:color="auto" w:fill="FFFFFF"/>
        </w:rPr>
        <w:t>购置费、租赁费、招待费、职工培训费、职工福利费、工会经费、其他商品和服务支出等。</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hint="eastAsia" w:ascii="方正小标宋_GBK" w:eastAsia="方正小标宋_GBK"/>
          <w:sz w:val="48"/>
          <w:szCs w:val="48"/>
        </w:rPr>
      </w:pPr>
    </w:p>
    <w:p>
      <w:pPr>
        <w:jc w:val="center"/>
        <w:rPr>
          <w:rFonts w:hint="eastAsia" w:ascii="方正小标宋_GBK" w:eastAsia="方正小标宋_GBK"/>
          <w:sz w:val="48"/>
          <w:szCs w:val="48"/>
        </w:rPr>
      </w:pPr>
    </w:p>
    <w:p>
      <w:pPr>
        <w:jc w:val="center"/>
        <w:rPr>
          <w:rFonts w:eastAsia="方正小标宋_GBK"/>
          <w:sz w:val="48"/>
          <w:szCs w:val="48"/>
        </w:rPr>
      </w:pPr>
      <w:r>
        <w:rPr>
          <w:rFonts w:hint="eastAsia" w:ascii="方正小标宋_GBK" w:eastAsia="方正小标宋_GBK"/>
          <w:sz w:val="48"/>
          <w:szCs w:val="48"/>
        </w:rPr>
        <w:t>2021年度湖南省体育科学研究所</w:t>
      </w:r>
    </w:p>
    <w:p>
      <w:pPr>
        <w:jc w:val="center"/>
        <w:rPr>
          <w:rFonts w:hint="eastAsia" w:eastAsia="方正小标宋_GBK"/>
          <w:sz w:val="48"/>
          <w:szCs w:val="48"/>
        </w:rPr>
      </w:pPr>
      <w:r>
        <w:rPr>
          <w:rFonts w:hint="eastAsia" w:ascii="方正小标宋_GBK" w:eastAsia="方正小标宋_GBK"/>
          <w:sz w:val="48"/>
          <w:szCs w:val="48"/>
        </w:rPr>
        <w:t>整体支出绩效自评报告</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hint="eastAsia"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hint="eastAsia"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eastAsia="黑体"/>
          <w:sz w:val="32"/>
          <w:szCs w:val="32"/>
        </w:rPr>
      </w:pPr>
      <w:r>
        <w:rPr>
          <w:rFonts w:eastAsia="黑体"/>
          <w:sz w:val="32"/>
          <w:szCs w:val="32"/>
        </w:rPr>
        <w:t xml:space="preserve"> </w:t>
      </w:r>
    </w:p>
    <w:p>
      <w:pPr>
        <w:jc w:val="center"/>
        <w:rPr>
          <w:rFonts w:ascii="仿宋" w:hAnsi="仿宋" w:eastAsia="仿宋"/>
          <w:b/>
          <w:bCs/>
          <w:sz w:val="32"/>
          <w:szCs w:val="32"/>
          <w:u w:val="single"/>
        </w:rPr>
      </w:pPr>
      <w:r>
        <w:rPr>
          <w:rFonts w:hint="eastAsia" w:ascii="仿宋" w:hAnsi="仿宋" w:eastAsia="仿宋"/>
          <w:b/>
          <w:bCs/>
          <w:sz w:val="32"/>
          <w:szCs w:val="32"/>
        </w:rPr>
        <w:t>单位名称：</w:t>
      </w:r>
      <w:r>
        <w:rPr>
          <w:rFonts w:hint="eastAsia" w:ascii="仿宋" w:hAnsi="仿宋" w:eastAsia="仿宋"/>
          <w:b/>
          <w:bCs/>
          <w:sz w:val="32"/>
          <w:szCs w:val="32"/>
          <w:u w:val="single"/>
        </w:rPr>
        <w:t xml:space="preserve">湖南省体育科学研究所  </w:t>
      </w:r>
    </w:p>
    <w:p>
      <w:pPr>
        <w:jc w:val="center"/>
        <w:rPr>
          <w:rFonts w:hint="eastAsia" w:ascii="仿宋" w:hAnsi="仿宋" w:eastAsia="仿宋"/>
          <w:b/>
          <w:bCs/>
          <w:sz w:val="32"/>
          <w:szCs w:val="32"/>
        </w:rPr>
      </w:pPr>
      <w:r>
        <w:rPr>
          <w:rFonts w:hint="eastAsia" w:ascii="仿宋" w:hAnsi="仿宋" w:eastAsia="仿宋"/>
          <w:b/>
          <w:bCs/>
          <w:sz w:val="32"/>
          <w:szCs w:val="32"/>
        </w:rPr>
        <w:t xml:space="preserve">2022年4月12日 </w:t>
      </w:r>
    </w:p>
    <w:p>
      <w:pPr>
        <w:jc w:val="center"/>
        <w:rPr>
          <w:rFonts w:hint="eastAsia" w:ascii="Calibri" w:hAnsi="Calibri" w:eastAsia="仿宋_GB2312"/>
          <w:sz w:val="32"/>
          <w:szCs w:val="32"/>
        </w:rPr>
      </w:pPr>
      <w:r>
        <w:rPr>
          <w:rFonts w:eastAsia="仿宋_GB2312"/>
          <w:sz w:val="32"/>
          <w:szCs w:val="32"/>
        </w:rPr>
        <w:t xml:space="preserve"> </w:t>
      </w:r>
    </w:p>
    <w:p>
      <w:pPr>
        <w:jc w:val="center"/>
        <w:rPr>
          <w:rFonts w:eastAsia="仿宋_GB2312"/>
          <w:sz w:val="32"/>
          <w:szCs w:val="32"/>
        </w:rPr>
      </w:pPr>
      <w:r>
        <w:rPr>
          <w:rFonts w:eastAsia="仿宋_GB2312"/>
          <w:sz w:val="32"/>
          <w:szCs w:val="32"/>
        </w:rPr>
        <w:t xml:space="preserve"> </w:t>
      </w:r>
    </w:p>
    <w:p>
      <w:pPr>
        <w:pStyle w:val="15"/>
        <w:widowControl/>
        <w:spacing w:line="600" w:lineRule="exact"/>
        <w:ind w:firstLineChars="0"/>
        <w:rPr>
          <w:rFonts w:ascii="仿宋_GB2312" w:hAnsi="仿宋" w:eastAsia="仿宋_GB2312"/>
          <w:sz w:val="32"/>
          <w:szCs w:val="32"/>
        </w:rPr>
      </w:pPr>
      <w:r>
        <w:rPr>
          <w:rFonts w:hint="eastAsia" w:ascii="黑体" w:hAnsi="黑体" w:eastAsia="黑体" w:cs="Times New Roman"/>
          <w:sz w:val="32"/>
          <w:szCs w:val="32"/>
        </w:rPr>
        <w:t>部门</w:t>
      </w:r>
      <w:r>
        <w:rPr>
          <w:rFonts w:hint="eastAsia" w:ascii="黑体" w:hAnsi="黑体" w:eastAsia="黑体"/>
          <w:sz w:val="32"/>
          <w:szCs w:val="32"/>
        </w:rPr>
        <w:t>（</w:t>
      </w:r>
      <w:r>
        <w:rPr>
          <w:rFonts w:hint="eastAsia" w:ascii="黑体" w:hAnsi="黑体" w:eastAsia="黑体" w:cs="Times New Roman"/>
          <w:sz w:val="32"/>
          <w:szCs w:val="32"/>
        </w:rPr>
        <w:t>单位</w:t>
      </w:r>
      <w:r>
        <w:rPr>
          <w:rFonts w:hint="eastAsia" w:ascii="黑体" w:hAnsi="黑体" w:eastAsia="黑体"/>
          <w:sz w:val="32"/>
          <w:szCs w:val="32"/>
        </w:rPr>
        <w:t>）</w:t>
      </w:r>
      <w:r>
        <w:rPr>
          <w:rFonts w:hint="eastAsia" w:ascii="黑体" w:hAnsi="黑体" w:eastAsia="黑体" w:cs="Times New Roman"/>
          <w:sz w:val="32"/>
          <w:szCs w:val="32"/>
        </w:rPr>
        <w:t>基本情况</w:t>
      </w:r>
    </w:p>
    <w:p>
      <w:pPr>
        <w:snapToGrid w:val="0"/>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 xml:space="preserve"> </w:t>
      </w:r>
    </w:p>
    <w:p>
      <w:pPr>
        <w:snapToGrid w:val="0"/>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360" w:lineRule="auto"/>
        <w:ind w:firstLine="640" w:firstLineChars="200"/>
        <w:rPr>
          <w:rFonts w:hint="eastAsia" w:ascii="仿宋_GB2312" w:hAnsi="仿宋" w:eastAsia="仿宋_GB2312"/>
          <w:sz w:val="32"/>
          <w:szCs w:val="32"/>
        </w:rPr>
      </w:pPr>
      <w:r>
        <w:rPr>
          <w:rFonts w:hint="eastAsia" w:ascii="仿宋" w:hAnsi="仿宋" w:eastAsia="仿宋"/>
          <w:sz w:val="32"/>
          <w:szCs w:val="32"/>
        </w:rPr>
        <w:t>湖南省体育科学研究所（以下简称省体科所）成立于1979年，由湖南省科技厅、湖南省体育局双重领导下的公益一类全额拨款事业单位，主要从事群众体育和竞技体育的科学研究，具体包括：运动机能评定与恢复、运动性疾病诊断与康复、国民体质监测、儿童少年发育评定、湖南省反兴奋剂宣传教育检测等工作。</w:t>
      </w:r>
    </w:p>
    <w:p>
      <w:pPr>
        <w:snapToGrid w:val="0"/>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2．机构情况，包括当年变动情况及原因。</w:t>
      </w:r>
    </w:p>
    <w:p>
      <w:pPr>
        <w:spacing w:line="360" w:lineRule="auto"/>
        <w:ind w:firstLine="640" w:firstLineChars="200"/>
        <w:rPr>
          <w:rFonts w:hint="eastAsia" w:ascii="Times New Roman" w:hAnsi="Times New Roman" w:eastAsia="黑体" w:cs="Times New Roman"/>
          <w:sz w:val="32"/>
          <w:szCs w:val="32"/>
        </w:rPr>
      </w:pPr>
      <w:r>
        <w:rPr>
          <w:rFonts w:hint="eastAsia" w:ascii="仿宋" w:hAnsi="仿宋" w:eastAsia="仿宋"/>
          <w:sz w:val="32"/>
          <w:szCs w:val="32"/>
        </w:rPr>
        <w:t>内设办公室、研究一室、研究二室、国民体质监测中心、湖南省反兴奋剂中心、国家体育总局“运动机能评定与恢复”重点实验室，地处湖南省长沙市开福区体育馆路84号。</w:t>
      </w:r>
    </w:p>
    <w:p>
      <w:pPr>
        <w:pStyle w:val="15"/>
        <w:widowControl/>
        <w:spacing w:line="600" w:lineRule="exact"/>
        <w:ind w:firstLine="579" w:firstLineChars="181"/>
        <w:rPr>
          <w:rFonts w:ascii="Times New Roman" w:hAnsi="Times New Roman" w:eastAsia="黑体" w:cs="Times New Roman"/>
          <w:sz w:val="32"/>
          <w:szCs w:val="32"/>
        </w:rPr>
      </w:pPr>
      <w:r>
        <w:rPr>
          <w:rFonts w:hint="eastAsia" w:ascii="黑体" w:hAnsi="黑体" w:eastAsia="黑体" w:cs="Times New Roman"/>
          <w:sz w:val="32"/>
          <w:szCs w:val="32"/>
        </w:rPr>
        <w:t>一般公共预算支出情况</w:t>
      </w:r>
    </w:p>
    <w:p>
      <w:pPr>
        <w:pStyle w:val="15"/>
        <w:widowControl/>
        <w:spacing w:line="600" w:lineRule="exact"/>
        <w:ind w:firstLine="579" w:firstLineChars="181"/>
        <w:rPr>
          <w:rFonts w:ascii="Times New Roman" w:hAnsi="Times New Roman" w:eastAsia="黑体" w:cs="Times New Roman"/>
          <w:sz w:val="32"/>
          <w:szCs w:val="32"/>
        </w:rPr>
      </w:pPr>
      <w:r>
        <w:rPr>
          <w:rFonts w:hint="eastAsia" w:ascii="黑体" w:hAnsi="黑体" w:eastAsia="黑体" w:cs="Times New Roman"/>
          <w:sz w:val="32"/>
          <w:szCs w:val="32"/>
        </w:rPr>
        <w:t>基本支出情况</w:t>
      </w:r>
    </w:p>
    <w:p>
      <w:pPr>
        <w:pStyle w:val="14"/>
        <w:autoSpaceDE w:val="0"/>
        <w:spacing w:line="360" w:lineRule="auto"/>
        <w:ind w:firstLine="640"/>
        <w:rPr>
          <w:rFonts w:ascii="仿宋_GB2312" w:hAnsi="仿宋" w:eastAsia="仿宋_GB2312"/>
          <w:color w:val="000000"/>
          <w:sz w:val="32"/>
          <w:szCs w:val="32"/>
        </w:rPr>
      </w:pPr>
      <w:r>
        <w:rPr>
          <w:rFonts w:hint="eastAsia" w:ascii="仿宋_GB2312" w:hAnsi="仿宋" w:eastAsia="仿宋_GB2312"/>
          <w:color w:val="000000"/>
          <w:sz w:val="32"/>
          <w:szCs w:val="32"/>
        </w:rPr>
        <w:t>2021年人员经费4626112.39元，日常公用经费744845元，基本支出共计5370957.39元，较上年6201369元减少了13.40%。</w:t>
      </w:r>
    </w:p>
    <w:p>
      <w:pPr>
        <w:pStyle w:val="14"/>
        <w:autoSpaceDE w:val="0"/>
        <w:spacing w:line="360" w:lineRule="auto"/>
        <w:ind w:firstLine="640"/>
        <w:rPr>
          <w:rFonts w:hint="eastAsia" w:ascii="Times New Roman" w:hAnsi="Times New Roman" w:eastAsia="黑体"/>
          <w:sz w:val="32"/>
          <w:szCs w:val="32"/>
        </w:rPr>
      </w:pPr>
      <w:r>
        <w:rPr>
          <w:rFonts w:hint="eastAsia" w:ascii="仿宋_GB2312" w:hAnsi="仿宋" w:eastAsia="仿宋_GB2312"/>
          <w:color w:val="000000"/>
          <w:sz w:val="32"/>
          <w:szCs w:val="32"/>
        </w:rPr>
        <w:t>主要原因是2020年我单位荣获了综合治理先进单位和省直文明单位的这个两项荣誉称号，所以2020年度工资总额有较大提高，而2021年因政策调整，所以2021年的基本支出较上年有较大幅度的减少。</w:t>
      </w:r>
    </w:p>
    <w:p>
      <w:pPr>
        <w:pStyle w:val="15"/>
        <w:widowControl/>
        <w:spacing w:line="600" w:lineRule="exact"/>
        <w:ind w:firstLine="579" w:firstLineChars="181"/>
        <w:rPr>
          <w:rFonts w:ascii="Times New Roman" w:hAnsi="Times New Roman" w:eastAsia="黑体" w:cs="Times New Roman"/>
          <w:sz w:val="32"/>
          <w:szCs w:val="32"/>
        </w:rPr>
      </w:pPr>
      <w:r>
        <w:rPr>
          <w:rFonts w:hint="eastAsia" w:ascii="黑体" w:hAnsi="黑体" w:eastAsia="黑体" w:cs="Times New Roman"/>
          <w:sz w:val="32"/>
          <w:szCs w:val="32"/>
        </w:rPr>
        <w:t>项目支出情况</w:t>
      </w:r>
    </w:p>
    <w:p>
      <w:pPr>
        <w:widowControl/>
        <w:spacing w:line="600" w:lineRule="exact"/>
        <w:ind w:firstLine="640" w:firstLineChars="200"/>
        <w:jc w:val="left"/>
        <w:rPr>
          <w:rFonts w:ascii="仿宋_GB2312" w:hAnsi="Calibri" w:eastAsia="仿宋_GB2312" w:cs="宋体"/>
          <w:sz w:val="32"/>
          <w:szCs w:val="32"/>
        </w:rPr>
      </w:pPr>
      <w:r>
        <w:rPr>
          <w:rFonts w:hint="eastAsia" w:ascii="仿宋_GB2312" w:eastAsia="仿宋_GB2312"/>
          <w:sz w:val="32"/>
          <w:szCs w:val="32"/>
        </w:rPr>
        <w:t>两方面：一是</w:t>
      </w:r>
      <w:r>
        <w:rPr>
          <w:rFonts w:hint="eastAsia" w:eastAsia="仿宋_GB2312"/>
          <w:sz w:val="32"/>
          <w:szCs w:val="32"/>
        </w:rPr>
        <w:t>2021</w:t>
      </w:r>
      <w:r>
        <w:rPr>
          <w:rFonts w:hint="eastAsia" w:ascii="仿宋_GB2312" w:eastAsia="仿宋_GB2312"/>
          <w:sz w:val="32"/>
          <w:szCs w:val="32"/>
        </w:rPr>
        <w:t>年度省级专项资金分配安排和使用管理情况，有</w:t>
      </w:r>
      <w:r>
        <w:rPr>
          <w:rFonts w:eastAsia="仿宋_GB2312"/>
          <w:sz w:val="32"/>
          <w:szCs w:val="32"/>
        </w:rPr>
        <w:t>2</w:t>
      </w:r>
      <w:r>
        <w:rPr>
          <w:rFonts w:hint="eastAsia" w:ascii="仿宋_GB2312" w:eastAsia="仿宋_GB2312"/>
          <w:sz w:val="32"/>
          <w:szCs w:val="32"/>
        </w:rPr>
        <w:t>个及以上省级专项资金的要分别总结基本情况。二是除省级专项资金以外的其他项目支出情况。</w:t>
      </w:r>
    </w:p>
    <w:p>
      <w:pPr>
        <w:autoSpaceDE w:val="0"/>
        <w:spacing w:line="360" w:lineRule="auto"/>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2021年项目支出共计6356273.67元，较上年8214046.28元减少22.62%。其中：一般公共预算项目支出为2051959.09元，较上年3535000元减少了41.96%。主要原因是响应政府“过紧日子”的</w:t>
      </w:r>
      <w:r>
        <w:rPr>
          <w:rFonts w:hint="eastAsia" w:ascii="仿宋_GB2312" w:hAnsi="仿宋" w:eastAsia="仿宋_GB2312"/>
          <w:color w:val="000000"/>
          <w:sz w:val="32"/>
          <w:szCs w:val="32"/>
          <w:lang w:eastAsia="zh-CN"/>
        </w:rPr>
        <w:t>政策</w:t>
      </w:r>
      <w:r>
        <w:rPr>
          <w:rFonts w:hint="eastAsia" w:ascii="仿宋_GB2312" w:hAnsi="仿宋" w:eastAsia="仿宋_GB2312"/>
          <w:color w:val="000000"/>
          <w:sz w:val="32"/>
          <w:szCs w:val="32"/>
        </w:rPr>
        <w:t>，所以缩减了一般公共预算的项目经费的拨款，因此我单位一般公共预算项目支出也随收入的减少相应减少。</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一般公共预算项目支出具体有：</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1、2021〔湘财文指〕0013号2021年省本级建国初期参加革命工作的部门退休干部生活和医疗补贴提标资金4400元，本年未形成支出；</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2、2021〔湘财文指〕0006号文化体育项目补助资金1700000元，支出1591684.82元；</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3、2020〔湘财教指〕0074号2020年第八批创新型省份建设专项资金主要用于“基于智能手机的自助式国民体质测定和运动促进方法研究及示范”项目资金500000元，本年支出为460274.27元。</w:t>
      </w:r>
    </w:p>
    <w:p>
      <w:pPr>
        <w:pStyle w:val="15"/>
        <w:widowControl/>
        <w:spacing w:line="600" w:lineRule="exact"/>
        <w:ind w:firstLine="576" w:firstLineChars="180"/>
        <w:jc w:val="left"/>
        <w:rPr>
          <w:rFonts w:hint="eastAsia" w:ascii="Times New Roman" w:hAnsi="Times New Roman" w:eastAsia="黑体" w:cs="Times New Roman"/>
          <w:sz w:val="32"/>
          <w:szCs w:val="32"/>
        </w:rPr>
      </w:pPr>
      <w:r>
        <w:rPr>
          <w:rFonts w:hint="eastAsia" w:ascii="黑体" w:hAnsi="黑体" w:eastAsia="黑体" w:cs="Times New Roman"/>
          <w:sz w:val="32"/>
          <w:szCs w:val="32"/>
        </w:rPr>
        <w:t>政府性基金预算支出情况</w:t>
      </w:r>
    </w:p>
    <w:p>
      <w:pPr>
        <w:autoSpaceDE w:val="0"/>
        <w:spacing w:line="360" w:lineRule="auto"/>
        <w:ind w:firstLine="640" w:firstLineChars="200"/>
        <w:rPr>
          <w:rFonts w:ascii="Times New Roman" w:hAnsi="Times New Roman" w:eastAsia="仿宋_GB2312" w:cs="宋体"/>
          <w:sz w:val="32"/>
          <w:szCs w:val="32"/>
        </w:rPr>
      </w:pPr>
      <w:r>
        <w:rPr>
          <w:rFonts w:hint="eastAsia" w:ascii="仿宋_GB2312" w:hAnsi="仿宋" w:eastAsia="仿宋_GB2312"/>
          <w:color w:val="000000"/>
          <w:sz w:val="32"/>
          <w:szCs w:val="32"/>
        </w:rPr>
        <w:t>政府性基金预算支出为4304314.58元，较上一年支出4679046.28元元下降了8.01%，主要原因：受到疫情等因素的影响我省体育彩票的发行量下降，因此我单位省级体育彩票公益金的预算收入有一定幅度的减少。</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政府性基金项目支出具体有：</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1、2021〔湘财文指〕0006号文化体育项目补助资金主要用于营养、反兴奋剂、科研、国民体质项目资金3950000元，本年支出3399614.58元；</w:t>
      </w:r>
    </w:p>
    <w:p>
      <w:pPr>
        <w:pStyle w:val="15"/>
        <w:widowControl/>
        <w:autoSpaceDE w:val="0"/>
        <w:spacing w:line="360" w:lineRule="auto"/>
        <w:ind w:firstLine="64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2、2021〔湘财预-结余〕20号为上年结转的项目资金904700元，本年支出904700元；</w:t>
      </w:r>
    </w:p>
    <w:p>
      <w:pPr>
        <w:pStyle w:val="15"/>
        <w:widowControl/>
        <w:spacing w:line="600" w:lineRule="exact"/>
        <w:ind w:firstLine="736" w:firstLineChars="230"/>
        <w:jc w:val="left"/>
        <w:rPr>
          <w:rFonts w:hint="eastAsia" w:ascii="Times New Roman" w:hAnsi="Times New Roman" w:eastAsia="黑体" w:cs="Times New Roman"/>
          <w:sz w:val="32"/>
          <w:szCs w:val="32"/>
        </w:rPr>
      </w:pPr>
      <w:r>
        <w:rPr>
          <w:rFonts w:hint="eastAsia" w:ascii="黑体" w:hAnsi="黑体" w:eastAsia="黑体" w:cs="Times New Roman"/>
          <w:sz w:val="32"/>
          <w:szCs w:val="32"/>
        </w:rPr>
        <w:t>国有资本经营预算支出情况</w:t>
      </w:r>
    </w:p>
    <w:p>
      <w:pPr>
        <w:pStyle w:val="15"/>
        <w:widowControl/>
        <w:spacing w:line="600" w:lineRule="exact"/>
        <w:ind w:firstLine="736" w:firstLineChars="230"/>
        <w:jc w:val="left"/>
        <w:rPr>
          <w:rFonts w:ascii="Times New Roman" w:hAnsi="Times New Roman" w:eastAsia="黑体" w:cs="Times New Roman"/>
          <w:sz w:val="32"/>
          <w:szCs w:val="32"/>
        </w:rPr>
      </w:pPr>
      <w:r>
        <w:rPr>
          <w:rFonts w:hint="eastAsia" w:ascii="黑体" w:hAnsi="黑体" w:eastAsia="黑体" w:cs="Times New Roman"/>
          <w:sz w:val="32"/>
          <w:szCs w:val="32"/>
        </w:rPr>
        <w:t>无</w:t>
      </w:r>
    </w:p>
    <w:p>
      <w:pPr>
        <w:pStyle w:val="15"/>
        <w:widowControl/>
        <w:spacing w:line="600" w:lineRule="exact"/>
        <w:ind w:firstLine="736" w:firstLineChars="230"/>
        <w:jc w:val="left"/>
        <w:rPr>
          <w:rFonts w:hint="eastAsia" w:ascii="Times New Roman" w:hAnsi="Times New Roman" w:eastAsia="黑体" w:cs="Times New Roman"/>
          <w:sz w:val="32"/>
          <w:szCs w:val="32"/>
        </w:rPr>
      </w:pPr>
      <w:r>
        <w:rPr>
          <w:rFonts w:hint="eastAsia" w:ascii="黑体" w:hAnsi="黑体" w:eastAsia="黑体" w:cs="Times New Roman"/>
          <w:sz w:val="32"/>
          <w:szCs w:val="32"/>
        </w:rPr>
        <w:t>社会保险基金预算支出情况</w:t>
      </w:r>
    </w:p>
    <w:p>
      <w:pPr>
        <w:pStyle w:val="15"/>
        <w:widowControl/>
        <w:spacing w:line="600" w:lineRule="exact"/>
        <w:ind w:firstLine="736" w:firstLineChars="230"/>
        <w:jc w:val="left"/>
        <w:rPr>
          <w:rFonts w:ascii="Times New Roman" w:hAnsi="Times New Roman" w:eastAsia="黑体" w:cs="Times New Roman"/>
          <w:sz w:val="32"/>
          <w:szCs w:val="32"/>
        </w:rPr>
      </w:pPr>
      <w:r>
        <w:rPr>
          <w:rFonts w:hint="eastAsia" w:ascii="黑体" w:hAnsi="黑体" w:eastAsia="黑体" w:cs="Times New Roman"/>
          <w:sz w:val="32"/>
          <w:szCs w:val="32"/>
        </w:rPr>
        <w:t>无</w:t>
      </w:r>
    </w:p>
    <w:p>
      <w:pPr>
        <w:widowControl/>
        <w:spacing w:line="600" w:lineRule="exact"/>
        <w:ind w:firstLine="645"/>
        <w:jc w:val="left"/>
        <w:rPr>
          <w:rFonts w:hint="eastAsia" w:ascii="Calibri" w:hAnsi="Calibri" w:eastAsia="黑体" w:cs="宋体"/>
          <w:sz w:val="32"/>
          <w:szCs w:val="32"/>
        </w:rPr>
      </w:pPr>
      <w:r>
        <w:rPr>
          <w:rFonts w:hint="eastAsia" w:ascii="黑体" w:hAnsi="黑体" w:eastAsia="黑体"/>
          <w:sz w:val="32"/>
          <w:szCs w:val="32"/>
        </w:rPr>
        <w:t>六、部门（单位）整体支出绩效情况</w:t>
      </w:r>
    </w:p>
    <w:p>
      <w:pPr>
        <w:pStyle w:val="6"/>
        <w:numPr>
          <w:ilvl w:val="0"/>
          <w:numId w:val="2"/>
        </w:numPr>
        <w:spacing w:before="0" w:beforeAutospacing="0" w:after="0" w:afterAutospacing="0"/>
        <w:ind w:firstLine="420"/>
        <w:jc w:val="both"/>
        <w:rPr>
          <w:rFonts w:ascii="楷体" w:hAnsi="楷体" w:eastAsia="楷体"/>
          <w:color w:val="000000"/>
          <w:sz w:val="32"/>
          <w:szCs w:val="32"/>
        </w:rPr>
      </w:pPr>
      <w:r>
        <w:rPr>
          <w:rFonts w:hint="eastAsia" w:ascii="仿宋" w:hAnsi="仿宋" w:eastAsia="仿宋"/>
          <w:sz w:val="32"/>
          <w:szCs w:val="32"/>
        </w:rPr>
        <w:t xml:space="preserve">  </w:t>
      </w:r>
      <w:r>
        <w:rPr>
          <w:rFonts w:hint="eastAsia" w:ascii="楷体" w:hAnsi="楷体" w:eastAsia="楷体"/>
          <w:color w:val="000000"/>
          <w:sz w:val="32"/>
          <w:szCs w:val="32"/>
        </w:rPr>
        <w:t>百年奋斗，继往开来，历史川流不息，精神代代相传，体育科技工作应继承伟大建党精神。</w:t>
      </w:r>
    </w:p>
    <w:p>
      <w:pPr>
        <w:pStyle w:val="6"/>
        <w:widowControl w:val="0"/>
        <w:autoSpaceDE w:val="0"/>
        <w:spacing w:before="0" w:beforeAutospacing="0" w:after="0" w:afterAutospacing="0"/>
        <w:ind w:firstLine="640" w:firstLineChars="200"/>
        <w:jc w:val="both"/>
        <w:rPr>
          <w:rFonts w:hint="eastAsia" w:ascii="楷体" w:hAnsi="楷体" w:eastAsia="楷体"/>
          <w:color w:val="000000"/>
          <w:sz w:val="32"/>
          <w:szCs w:val="32"/>
        </w:rPr>
      </w:pPr>
      <w:r>
        <w:rPr>
          <w:rFonts w:hint="eastAsia" w:ascii="仿宋" w:hAnsi="仿宋" w:eastAsia="仿宋"/>
          <w:sz w:val="32"/>
          <w:szCs w:val="32"/>
        </w:rPr>
        <w:t>2021年是中国共产党成立一百周年，在中国共产党的带领下，全国各族人民实现了第一个百年奋斗目标，开始了实现第二个百年奋斗目标的新征程。在这个继往开来、具有历史重大意义的年份，湖南省体育科学研究所（以下简称科研所）党总支部在湖南省体育局党组和局直属机关党委的领导下，</w:t>
      </w:r>
      <w:r>
        <w:rPr>
          <w:rFonts w:hint="eastAsia" w:ascii="仿宋" w:hAnsi="仿宋" w:eastAsia="仿宋" w:cs="Times New Roman"/>
          <w:kern w:val="2"/>
          <w:sz w:val="32"/>
          <w:szCs w:val="32"/>
        </w:rPr>
        <w:t>班子成员带头示范，多种形式开展党风廉政建设。</w:t>
      </w:r>
    </w:p>
    <w:p>
      <w:pPr>
        <w:autoSpaceDE w:val="0"/>
        <w:ind w:firstLine="640" w:firstLineChars="200"/>
        <w:rPr>
          <w:rFonts w:hint="eastAsia" w:ascii="仿宋" w:hAnsi="仿宋" w:eastAsia="仿宋"/>
          <w:sz w:val="32"/>
          <w:szCs w:val="32"/>
        </w:rPr>
      </w:pPr>
      <w:r>
        <w:rPr>
          <w:rFonts w:hint="eastAsia" w:ascii="仿宋" w:hAnsi="仿宋" w:eastAsia="仿宋"/>
          <w:sz w:val="32"/>
          <w:szCs w:val="32"/>
        </w:rPr>
        <w:t>深入学习《习近平新时代中国特色社会主义思想》，《中国共产党简史》、习近平《论中国共产党历史》、《习近平谈治国理政》等重要著述，领导班子带头研讨、讲党课，党员撰写学习心得体会。多次在全体党员干部会议中学习了习近平总书记关于体育工作的重要论述，如“体育承载着国家强盛、民族振兴的梦想。体育强则中国强，国运兴则体育兴。”、“推动群众体育和竞技体育全面平衡发展，推进全民健身事业，不断提升人民健康水平。”等重要论述。积极开展党史学习专题教育工作，各党支部开好“学党史、悟思想、办实事、开新局”专题组织生活会。为庆祝党的百年诞辰组织丰富多彩的活动。科研所举办了歌颂党的诗歌朗诵比赛，参观清水塘中国共产党长沙历史馆。组织集体观看建党百年庆典直播，聆听习总书记的“七一”重要讲话。积极开展“廉政大家谈，请您来监督”活动。及时传达《中共中央关于加强对“一把手”和领导班子监督的意见》、省纪委出台的《加强“一把手”监督“十必严”措施》和局党组《湖南省体育局系统“一把手”和领导班子监督十项措施》，并组织党员干部认真学习。科研所党总支书记梅军同志为全体党员干部上了一堂党风廉政专题党课，由纪检委员组织两次观看警示教育片，进行警示教育。加强了吸收优秀青年入党，今年科研支部发展了一名预备党员，办公室支部有一名预备党员转正。科研所全体党员干部职工没有出现违规现象，经受了驻局纪检监察组的检查，保持了风清气正的良好氛围。</w:t>
      </w:r>
    </w:p>
    <w:p>
      <w:pPr>
        <w:autoSpaceDE w:val="0"/>
        <w:ind w:firstLine="640" w:firstLineChars="200"/>
        <w:rPr>
          <w:rFonts w:hint="eastAsia" w:ascii="仿宋" w:hAnsi="仿宋" w:eastAsia="仿宋"/>
          <w:sz w:val="32"/>
          <w:szCs w:val="32"/>
        </w:rPr>
      </w:pPr>
      <w:r>
        <w:rPr>
          <w:rFonts w:hint="eastAsia" w:ascii="仿宋" w:hAnsi="仿宋" w:eastAsia="仿宋"/>
          <w:sz w:val="32"/>
          <w:szCs w:val="32"/>
        </w:rPr>
        <w:t>办公室及工会工作。坚持春节期间，慰问离退休老同志、生活较困难的同志；在现有条件下尽量保障离退休老同志的生活待遇，与在职职工同等享受节日慰问；工会开展多种多样的比赛和活动，丰富职工文化生活，提高单位的凝聚力，如参加局系统的气排球比赛、退休老同志钓鱼比赛、诗歌朗诵比赛、春游、秋游等；党总支积极推动单位创建省直属机关文明标兵单位的活动，评选文明个人、文明科室、文明家庭给予表彰鼓励，同时抓好年度的绩效考核、综合治理工作，争取文明创建奖、综合治理奖。</w:t>
      </w:r>
    </w:p>
    <w:p>
      <w:pPr>
        <w:pStyle w:val="6"/>
        <w:spacing w:before="0" w:beforeAutospacing="0" w:after="0" w:afterAutospacing="0"/>
        <w:ind w:firstLine="420"/>
        <w:jc w:val="both"/>
        <w:rPr>
          <w:rFonts w:hint="eastAsia" w:ascii="楷体" w:hAnsi="楷体" w:eastAsia="楷体"/>
          <w:color w:val="000000"/>
          <w:sz w:val="32"/>
          <w:szCs w:val="32"/>
        </w:rPr>
      </w:pPr>
      <w:r>
        <w:rPr>
          <w:rFonts w:hint="eastAsia" w:ascii="楷体" w:hAnsi="楷体" w:eastAsia="楷体"/>
          <w:color w:val="000000"/>
          <w:sz w:val="32"/>
          <w:szCs w:val="32"/>
        </w:rPr>
        <w:t>（二）全面助力备战东京奥运会和14届陕西全运会，汇聚一线开展科研服务保障工作</w:t>
      </w:r>
    </w:p>
    <w:p>
      <w:pPr>
        <w:pStyle w:val="6"/>
        <w:spacing w:before="0" w:beforeAutospacing="0" w:after="0" w:afterAutospacing="0"/>
        <w:ind w:firstLine="480" w:firstLineChars="150"/>
        <w:jc w:val="both"/>
        <w:rPr>
          <w:rFonts w:hint="eastAsia" w:ascii="楷体" w:hAnsi="楷体" w:eastAsia="楷体"/>
          <w:color w:val="000000"/>
          <w:sz w:val="32"/>
          <w:szCs w:val="32"/>
        </w:rPr>
      </w:pPr>
      <w:r>
        <w:rPr>
          <w:rFonts w:hint="eastAsia" w:ascii="楷体" w:hAnsi="楷体" w:eastAsia="楷体"/>
          <w:color w:val="000000"/>
          <w:sz w:val="32"/>
          <w:szCs w:val="32"/>
        </w:rPr>
        <w:t>1、科研团队助力保障，为重点队员提供强有力的科研攻关</w:t>
      </w:r>
    </w:p>
    <w:p>
      <w:pPr>
        <w:autoSpaceDE w:val="0"/>
        <w:adjustRightInd w:val="0"/>
        <w:snapToGrid w:val="0"/>
        <w:spacing w:line="360" w:lineRule="auto"/>
        <w:ind w:firstLine="420"/>
        <w:jc w:val="left"/>
        <w:rPr>
          <w:rFonts w:hint="eastAsia" w:ascii="仿宋" w:hAnsi="仿宋" w:eastAsia="仿宋"/>
          <w:spacing w:val="8"/>
          <w:sz w:val="32"/>
          <w:szCs w:val="32"/>
        </w:rPr>
      </w:pPr>
      <w:r>
        <w:rPr>
          <w:rFonts w:hint="eastAsia" w:ascii="仿宋" w:hAnsi="仿宋" w:eastAsia="仿宋"/>
          <w:spacing w:val="8"/>
          <w:sz w:val="32"/>
          <w:szCs w:val="32"/>
        </w:rPr>
        <w:t>一是</w:t>
      </w:r>
      <w:r>
        <w:rPr>
          <w:rFonts w:hint="eastAsia" w:ascii="仿宋_GB2312" w:hAnsi="仿宋" w:eastAsia="仿宋_GB2312"/>
          <w:color w:val="000000"/>
          <w:sz w:val="32"/>
          <w:szCs w:val="32"/>
        </w:rPr>
        <w:t>集全所之力，开展科技攻关研究与服务。我所已成立的六个复合型学科团队为各中心提供科技服务，助力湖南湘军。</w:t>
      </w:r>
      <w:r>
        <w:rPr>
          <w:rFonts w:hint="eastAsia" w:ascii="仿宋" w:hAnsi="仿宋" w:eastAsia="仿宋"/>
          <w:spacing w:val="8"/>
          <w:sz w:val="32"/>
          <w:szCs w:val="32"/>
        </w:rPr>
        <w:t>体能团队：2021年按照体能训练学科团队工作要求，全年共组织团队成员在科学健身中心为重点运动员开展科学化体能训练服务工作，共完成156次课时，指导467人次运动员训练。康复团队：依照现代物理治疗的基本思路，采用mulligan动态关节松动术、肌肉松解手法、筋膜释放技术、超声治疗技术等方法和手段为运动员开展伤病治疗，共计531人次。心理团队：为重点队员开展正念训练、共振呼吸反馈训练的实操练习，训练放松和专注当下的技巧，帮助他们建立比赛把控当下的方法，提高自我调控学习的信心。制定相应的方案，调整情绪和心态，利用SPCS为运动员进行心理训练。生理生化团队：落实国家体育总局关于开展全运会参赛运动员赛前机能监测工作的通知要求，完成所攻关队伍运动员的机能测试和数据上报工作。本年度实验室检测标本1990例，送检标本1241例。对于备战全运会的重点运动员，定期进行机能评定，通过血尿素、肌酸激酶、血睾酮、血红蛋白、铁代谢、免疫指标等多项指标的测试结果结合教练员制订的训练计划综合分析运动员的身体机能情况及对训练计划的完成情况，并为科研的营养补充方案和疲劳消除提供一些客观数据作为参考。营养团队：执行个性化营养补充方案，针对有控体重需求的重点运动员训练前、中、后科学补液，提高训练有效性、促进身体快速恢复。从预防入手，积极使用营养补剂，从糖、电解质、维生素和功能营养补剂等方面入手，为运动员准备所需的营养补剂，促进运动员身体机能的恢复。自行车队在全运会比赛日前7天为重点队员进行糖原填充法提高糖原储备。中医药团队：田径队针对重点运动员出现的身体机能问题，运用中医药辨证施治解决了女子4*400米接力主力队员何珂夏赛前训练期睡眠不佳，状态不良等问题，使其以良好的机能状态顺利完成夏训和全运会决赛任务。女子柔道、游泳队给伍阳英、刘亭、李园、刘莉萍等重点运动员在夏训及备战全运会阶段一直运用中医药消除疲劳、降控体重，为她们在全运会上取得优异成绩保驾护航。中医药科研工作者为有运用中医药需求的队伍和队员服务，并进行有无违禁成分的把关，杜绝兴奋剂存在。</w:t>
      </w:r>
    </w:p>
    <w:p>
      <w:pPr>
        <w:numPr>
          <w:ilvl w:val="0"/>
          <w:numId w:val="3"/>
        </w:numPr>
        <w:ind w:firstLine="640" w:firstLineChars="200"/>
        <w:rPr>
          <w:rFonts w:hint="eastAsia" w:ascii="楷体" w:hAnsi="楷体" w:eastAsia="楷体"/>
          <w:color w:val="000000"/>
          <w:sz w:val="32"/>
          <w:szCs w:val="32"/>
        </w:rPr>
      </w:pPr>
      <w:r>
        <w:rPr>
          <w:rFonts w:hint="eastAsia" w:ascii="楷体" w:hAnsi="楷体" w:eastAsia="楷体"/>
          <w:color w:val="000000"/>
          <w:sz w:val="32"/>
          <w:szCs w:val="32"/>
        </w:rPr>
        <w:t>强化我省竞技体育科学研究能力，助力湖南湘军腾飞动能</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cs="Times New Roman"/>
          <w:spacing w:val="8"/>
          <w:sz w:val="32"/>
          <w:szCs w:val="32"/>
        </w:rPr>
        <w:t>2021年共有在研课题19项，均为厅局级课题，目前正在抓紧完成相关结题研究工作。参加国内的学术会议8人次。参加各类培训90余人次，主要以线上学习及单位内部组织的业务学习为主。共发表论文6篇，其中SCI4篇，其他期刊2篇。学术会议交流论文7篇。</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spacing w:val="8"/>
          <w:sz w:val="32"/>
          <w:szCs w:val="32"/>
        </w:rPr>
        <w:t>聘请青海省体育科学研究所马福海研究员、上海体育学院高炳宏教授进行科学训练和训练监控相关培训讲座。聘请国内知名运动心理专家李安民、赵大亮为重点运动员进行线上、线下心理咨询。</w:t>
      </w:r>
    </w:p>
    <w:p>
      <w:pPr>
        <w:numPr>
          <w:ilvl w:val="0"/>
          <w:numId w:val="3"/>
        </w:numPr>
        <w:ind w:firstLine="640" w:firstLineChars="200"/>
        <w:rPr>
          <w:rFonts w:hint="eastAsia" w:ascii="楷体" w:hAnsi="楷体" w:eastAsia="楷体"/>
          <w:color w:val="000000"/>
          <w:sz w:val="32"/>
          <w:szCs w:val="32"/>
        </w:rPr>
      </w:pPr>
      <w:r>
        <w:rPr>
          <w:rFonts w:hint="eastAsia" w:ascii="楷体" w:hAnsi="楷体" w:eastAsia="楷体"/>
          <w:color w:val="000000"/>
          <w:sz w:val="32"/>
          <w:szCs w:val="32"/>
        </w:rPr>
        <w:t>以高精尖端设备为抓手，实现“强基拓优”到“厚积薄发”的突破</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spacing w:val="8"/>
          <w:sz w:val="32"/>
          <w:szCs w:val="32"/>
        </w:rPr>
        <w:t>进行重点课、测试课、模拟测试赛、队内预选赛心率和血乳酸等监控，了解项目的训练特点、运动员赛中血乳酸变化规律、运动员身体机能状态与训练的表现关联、及时调整对手、进攻次数和比赛场次，保障运动员达到比赛强度要求。运用高精尖端的</w:t>
      </w:r>
      <w:r>
        <w:rPr>
          <w:rFonts w:hint="eastAsia" w:ascii="仿宋_GB2312" w:eastAsia="仿宋_GB2312"/>
          <w:color w:val="000000"/>
          <w:kern w:val="0"/>
          <w:sz w:val="32"/>
          <w:szCs w:val="32"/>
        </w:rPr>
        <w:t>评估、训练、恢复一体化科学设备，助力重点队员实现成绩突破，设备包括</w:t>
      </w:r>
      <w:r>
        <w:rPr>
          <w:rFonts w:hint="eastAsia" w:ascii="仿宋" w:hAnsi="仿宋" w:eastAsia="仿宋"/>
          <w:spacing w:val="8"/>
          <w:sz w:val="32"/>
          <w:szCs w:val="32"/>
        </w:rPr>
        <w:t>超低温冷疗，微压氧舱，血流阻断训练器，团队心率监控，运动表现跑步机，无动力跑步机，灵敏性训练系统，数学化功能动作监控器，气动功能性训练器，爆发力测试系统，数字化离心训练平台，数字化力量训练平台，速度与爆发力训练台，力量功率测试系统，无轨迹爆发力训练器，数字化功率训练单车等。</w:t>
      </w:r>
    </w:p>
    <w:p>
      <w:pPr>
        <w:numPr>
          <w:ilvl w:val="0"/>
          <w:numId w:val="3"/>
        </w:numPr>
        <w:ind w:firstLine="640" w:firstLineChars="200"/>
        <w:rPr>
          <w:rFonts w:hint="eastAsia" w:ascii="楷体" w:hAnsi="楷体" w:eastAsia="楷体"/>
          <w:color w:val="000000"/>
          <w:sz w:val="32"/>
          <w:szCs w:val="32"/>
        </w:rPr>
      </w:pPr>
      <w:r>
        <w:rPr>
          <w:rFonts w:hint="eastAsia" w:ascii="楷体" w:hAnsi="楷体" w:eastAsia="楷体"/>
          <w:color w:val="000000"/>
          <w:sz w:val="32"/>
          <w:szCs w:val="32"/>
        </w:rPr>
        <w:t>扎实开展科研攻关相关服务工作</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spacing w:val="8"/>
          <w:sz w:val="32"/>
          <w:szCs w:val="32"/>
        </w:rPr>
        <w:t>一是做好体育信息的收集和分析。围绕奥运战略和全运战略需求，确定信息服务重点，紧抓重要信息变化，及时提供分析参考。对体育总局公布的最新十四运改革方案中有关跨省组合和新增项目的情况，撰写了专题信息分析报告。分析了第十四运有望进行组合的项目约31个左右，对湖南和福建等6个主要对手省市的跨省项目形势进行了预测和分析。根据2020年3月31日总局发布的《十四运改革方案意见的通知》中公布的十四运项目调整情况，湖南预计在本省重点项目举重、赛艇、田径等部分小项上具备一定的竞争力，在大部分新增项目上缺乏争金实力。就第十四届全运会第二集团实力格局及第二集团各代表团夺金态势进行再次的分析和研究, 对竞争全运会金牌榜第8到13名的竞争新格局进行了预测分析。结合预赛情况提供了《第十四届全运会夏季项目410个小项主要夺金运动员预测分析》材料。决赛期间共出版了《全运简报》16期，局领导把握形势提供了参考依据。撰写了《东京奥运会中国备战形势分析〉一文。2021年共编发内部刊物《体育信息》40期。</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spacing w:val="8"/>
          <w:sz w:val="32"/>
          <w:szCs w:val="32"/>
        </w:rPr>
        <w:t>二是</w:t>
      </w:r>
      <w:r>
        <w:rPr>
          <w:rFonts w:hint="eastAsia" w:ascii="仿宋" w:hAnsi="仿宋" w:eastAsia="仿宋"/>
          <w:sz w:val="32"/>
          <w:szCs w:val="32"/>
        </w:rPr>
        <w:t>坚决推进反兴奋剂斗争，</w:t>
      </w:r>
      <w:r>
        <w:rPr>
          <w:rFonts w:hint="eastAsia" w:ascii="仿宋_GB2312" w:eastAsia="仿宋_GB2312"/>
          <w:sz w:val="32"/>
          <w:szCs w:val="32"/>
        </w:rPr>
        <w:t>湖南省体育局坚决贯彻落实习近平总书记7次有关反兴奋剂工作重要指示批示精神，</w:t>
      </w:r>
      <w:r>
        <w:rPr>
          <w:rFonts w:hint="eastAsia" w:ascii="仿宋" w:hAnsi="仿宋" w:eastAsia="仿宋"/>
          <w:sz w:val="32"/>
          <w:szCs w:val="32"/>
        </w:rPr>
        <w:t>强化拿道德的金牌、风格的金牌、干净的金牌意识，坚决做到兴奋剂问题“零出现”、“零容忍”。全运会预赛、决赛未出现1例兴奋剂事件，获得湖南省体育道德和精神文明称号的荣誉。加大兴奋剂检查力度，对“三品”防控管理的力度。认真做好运动员行踪信息申报工作。采用多种方式组织各市（州）、各训练单位、省体校和相关协会认真学习《刑法修正案（十一）》、《兴奋剂刑事案件司法解释》等兴奋剂相关法律法规。全年开展反兴奋剂教育资格准入和专题教育讲座28次，参与和覆盖人数2000余人次，制作和发放反兴奋剂宣传教育展板、海报30套，知识手册和准入手册等5000册，积极组织运动员参加十四运会反兴奋剂教育拓展活动，将《反兴奋剂工作告知书》通过网络平台下发至相关单位。首次进行省级青少年体育锦标赛兴奋剂检查，对9个高危项目实施了25例赛内兴奋剂检查。对9个专业运动队的优秀运动员开展了26例赛外兴奋剂检查。</w:t>
      </w:r>
    </w:p>
    <w:p>
      <w:pPr>
        <w:pStyle w:val="6"/>
        <w:spacing w:before="0" w:beforeAutospacing="0" w:after="0" w:afterAutospacing="0"/>
        <w:ind w:firstLine="420"/>
        <w:jc w:val="both"/>
        <w:rPr>
          <w:rFonts w:hint="eastAsia" w:ascii="楷体" w:hAnsi="楷体" w:eastAsia="楷体"/>
          <w:color w:val="000000"/>
          <w:sz w:val="32"/>
          <w:szCs w:val="32"/>
        </w:rPr>
      </w:pPr>
      <w:r>
        <w:rPr>
          <w:rFonts w:hint="eastAsia" w:ascii="楷体" w:hAnsi="楷体" w:eastAsia="楷体"/>
          <w:color w:val="000000"/>
          <w:sz w:val="32"/>
          <w:szCs w:val="32"/>
        </w:rPr>
        <w:t>（三）服务全民健身，加强体质健康研究和科学指导</w:t>
      </w:r>
    </w:p>
    <w:p>
      <w:pPr>
        <w:autoSpaceDE w:val="0"/>
        <w:adjustRightInd w:val="0"/>
        <w:snapToGrid w:val="0"/>
        <w:spacing w:line="360" w:lineRule="auto"/>
        <w:ind w:firstLine="672" w:firstLineChars="200"/>
        <w:jc w:val="left"/>
        <w:rPr>
          <w:rFonts w:hint="eastAsia" w:ascii="仿宋" w:hAnsi="仿宋" w:eastAsia="仿宋"/>
          <w:spacing w:val="8"/>
          <w:sz w:val="32"/>
          <w:szCs w:val="32"/>
        </w:rPr>
      </w:pPr>
      <w:r>
        <w:rPr>
          <w:rFonts w:hint="eastAsia" w:ascii="仿宋" w:hAnsi="仿宋" w:eastAsia="仿宋"/>
          <w:spacing w:val="8"/>
          <w:sz w:val="32"/>
          <w:szCs w:val="32"/>
        </w:rPr>
        <w:t>1、2021年度在研课题包括省科技厅重点课题1项和省体育局局管课题1项。去年由我所王奎、宁克等人申报的省科技厅重点课题《基于智能手机的自助式国民体质测定和运动促进方法研究及示范》项目获批。2021年1月在省体育局获批的《基于“中华05法”骨龄监测与身高促进软件的研究与开发》课题。</w:t>
      </w:r>
    </w:p>
    <w:p>
      <w:pPr>
        <w:numPr>
          <w:ilvl w:val="0"/>
          <w:numId w:val="4"/>
        </w:numPr>
        <w:autoSpaceDE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科普图书《口袋里的科学健身》编写出版工作。组织省内专业人员编写科普图书《口袋里的科学健身》，完成编写、配图、校审等一系列工作，现已正式交付出版社，年内将会完成全部出版和印刷工作。</w:t>
      </w:r>
    </w:p>
    <w:p>
      <w:pPr>
        <w:numPr>
          <w:ilvl w:val="0"/>
          <w:numId w:val="4"/>
        </w:numPr>
        <w:autoSpaceDE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国民体质监测和全民健身调查。相关报告和公报已撰写完毕，正在联系出版社进行出版业务。相关论文正在征订过程中。待明年国家公报一经公布，我省的相关公报和后续工作就将随之开展。</w:t>
      </w:r>
    </w:p>
    <w:p>
      <w:pPr>
        <w:numPr>
          <w:ilvl w:val="0"/>
          <w:numId w:val="4"/>
        </w:numPr>
        <w:autoSpaceDE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“三扶”活动。今年以来开展面向农村地区、偏远地区、经济欠发达地区的 “扶志、扶智、扶质”三扶活动3次。</w:t>
      </w:r>
    </w:p>
    <w:p>
      <w:pPr>
        <w:numPr>
          <w:ilvl w:val="0"/>
          <w:numId w:val="4"/>
        </w:numPr>
        <w:autoSpaceDE w:val="0"/>
        <w:spacing w:line="360" w:lineRule="auto"/>
        <w:ind w:firstLine="640" w:firstLineChars="200"/>
        <w:rPr>
          <w:rFonts w:hint="eastAsia" w:ascii="仿宋" w:hAnsi="仿宋" w:eastAsia="仿宋"/>
          <w:sz w:val="32"/>
          <w:szCs w:val="32"/>
        </w:rPr>
      </w:pPr>
      <w:r>
        <w:rPr>
          <w:rFonts w:hint="eastAsia" w:ascii="仿宋" w:hAnsi="仿宋" w:eastAsia="仿宋"/>
          <w:sz w:val="32"/>
          <w:szCs w:val="32"/>
        </w:rPr>
        <w:t>学术会议和论文撰写。参加学术会议或培训班6人次，分别是湖南体能训练协会于5月份举办的青少年体适能教练培训班（长沙）和7月份的青少年体适能教练培训班（邵阳）两站，宁克和王奎均作为主讲人参与。4月30日宁克和张淼协助益阳市召开国民体质监测技术培训班活动。论文撰写方面，今年发表第十二届全国体育科学大会墙报交流1篇，题目《长沙地区8-10岁小学生骨龄及身高发育的城乡差异》，作者王奎、宁克。撰写大众健身科普文章，出版刊登于《大众卫生报》，共计6篇。</w:t>
      </w:r>
    </w:p>
    <w:p>
      <w:pPr>
        <w:pStyle w:val="15"/>
        <w:widowControl/>
        <w:spacing w:line="600" w:lineRule="exact"/>
        <w:ind w:firstLine="736" w:firstLineChars="230"/>
        <w:jc w:val="left"/>
        <w:rPr>
          <w:rFonts w:hint="eastAsia" w:ascii="Times New Roman" w:hAnsi="Times New Roman" w:eastAsia="黑体" w:cs="Times New Roman"/>
          <w:sz w:val="32"/>
          <w:szCs w:val="32"/>
        </w:rPr>
      </w:pPr>
      <w:r>
        <w:rPr>
          <w:rFonts w:hint="eastAsia" w:ascii="黑体" w:hAnsi="黑体" w:eastAsia="黑体" w:cs="Times New Roman"/>
          <w:sz w:val="32"/>
          <w:szCs w:val="32"/>
        </w:rPr>
        <w:t>存在的问题及</w:t>
      </w:r>
      <w:r>
        <w:rPr>
          <w:rFonts w:hint="eastAsia" w:ascii="黑体" w:hAnsi="黑体" w:eastAsia="黑体"/>
          <w:sz w:val="32"/>
          <w:szCs w:val="32"/>
        </w:rPr>
        <w:t>原因分析和下一步改进措施</w:t>
      </w:r>
    </w:p>
    <w:p>
      <w:pPr>
        <w:widowControl/>
        <w:spacing w:line="600" w:lineRule="exact"/>
        <w:ind w:firstLine="640" w:firstLineChars="200"/>
        <w:jc w:val="left"/>
        <w:rPr>
          <w:rFonts w:ascii="仿宋_GB2312" w:hAnsi="Calibri" w:eastAsia="仿宋_GB2312" w:cs="宋体"/>
          <w:sz w:val="32"/>
          <w:szCs w:val="32"/>
        </w:rPr>
      </w:pPr>
      <w:r>
        <w:rPr>
          <w:rFonts w:hint="eastAsia" w:ascii="仿宋_GB2312" w:eastAsia="仿宋_GB2312"/>
          <w:sz w:val="32"/>
          <w:szCs w:val="32"/>
        </w:rPr>
        <w:t>主要反映各种预算支出执行偏离绩效目标的情况，并分析其原因。</w:t>
      </w:r>
    </w:p>
    <w:p>
      <w:pPr>
        <w:ind w:firstLine="640" w:firstLineChars="200"/>
        <w:rPr>
          <w:rFonts w:hint="eastAsia" w:ascii="仿宋" w:hAnsi="仿宋" w:eastAsia="仿宋"/>
          <w:sz w:val="32"/>
          <w:szCs w:val="32"/>
        </w:rPr>
      </w:pPr>
      <w:r>
        <w:rPr>
          <w:rFonts w:hint="eastAsia" w:ascii="仿宋" w:hAnsi="仿宋" w:eastAsia="仿宋"/>
          <w:color w:val="000000"/>
          <w:sz w:val="32"/>
          <w:szCs w:val="32"/>
        </w:rPr>
        <w:t>我省的国民体质监测的公报已撰写完毕，但未能如计划在2021年发布。因为按规定，各地方体育局或行业体协须等待国家体育总局发布全国的公报数据之后，才能发布自己的数据，但是由于各种原因，国家体育总局未能在2021年底前公布全国的数据，造成我单位无法按原定工作计划对外公布我省第五次国民体质监测的公报。</w:t>
      </w:r>
      <w:r>
        <w:rPr>
          <w:rFonts w:hint="eastAsia" w:ascii="仿宋" w:hAnsi="仿宋" w:eastAsia="仿宋"/>
          <w:sz w:val="32"/>
          <w:szCs w:val="32"/>
        </w:rPr>
        <w:t>改进措施：待2022年体育总局发布完全国的公报后，我单位将随后在年内公布全省的监测公报。</w:t>
      </w:r>
    </w:p>
    <w:p>
      <w:pPr>
        <w:ind w:firstLine="640" w:firstLineChars="200"/>
        <w:rPr>
          <w:rFonts w:hint="eastAsia" w:ascii="仿宋" w:hAnsi="仿宋" w:eastAsia="仿宋"/>
          <w:sz w:val="32"/>
          <w:szCs w:val="32"/>
        </w:rPr>
      </w:pPr>
      <w:r>
        <w:rPr>
          <w:rFonts w:hint="eastAsia" w:ascii="仿宋" w:hAnsi="仿宋" w:eastAsia="仿宋"/>
          <w:sz w:val="32"/>
          <w:szCs w:val="32"/>
        </w:rPr>
        <w:t>反兴奋剂肉食品检测数量与计划有差距。由于2021年西安全运会结束后，运动员赛后处于休整期，缩小了肉食品检测力度。今后将加大监督检查力度，按计划完成检测指标。</w:t>
      </w:r>
    </w:p>
    <w:p>
      <w:pPr>
        <w:widowControl/>
        <w:spacing w:line="600" w:lineRule="exact"/>
        <w:ind w:left="1360" w:hanging="720"/>
        <w:jc w:val="left"/>
        <w:rPr>
          <w:rFonts w:hint="eastAsia" w:ascii="黑体" w:hAnsi="黑体" w:eastAsia="黑体"/>
          <w:sz w:val="32"/>
          <w:szCs w:val="32"/>
        </w:rPr>
      </w:pPr>
      <w:r>
        <w:rPr>
          <w:rFonts w:hint="eastAsia" w:ascii="黑体" w:hAnsi="黑体" w:eastAsia="黑体"/>
          <w:sz w:val="32"/>
          <w:szCs w:val="32"/>
        </w:rPr>
        <w:t>绩效自评结果拟应用和公开情况</w:t>
      </w:r>
    </w:p>
    <w:p>
      <w:pPr>
        <w:ind w:firstLine="640" w:firstLineChars="200"/>
        <w:rPr>
          <w:rFonts w:hint="eastAsia" w:ascii="Calibri" w:hAnsi="Calibri" w:eastAsia="宋体"/>
          <w:szCs w:val="21"/>
        </w:rPr>
      </w:pPr>
      <w:r>
        <w:rPr>
          <w:rFonts w:hint="eastAsia" w:ascii="仿宋_GB2312" w:eastAsia="仿宋_GB2312"/>
          <w:sz w:val="32"/>
          <w:szCs w:val="32"/>
        </w:rPr>
        <w:t>按财政部门的要求在年度决算中予以公开。</w:t>
      </w:r>
    </w:p>
    <w:p>
      <w:pPr>
        <w:widowControl/>
        <w:spacing w:line="600" w:lineRule="exact"/>
        <w:ind w:firstLine="640" w:firstLineChars="200"/>
        <w:jc w:val="left"/>
        <w:rPr>
          <w:rFonts w:ascii="仿宋_GB2312" w:eastAsia="仿宋_GB2312"/>
          <w:b/>
          <w:bCs/>
          <w:color w:val="000000"/>
          <w:sz w:val="32"/>
          <w:szCs w:val="32"/>
        </w:rPr>
      </w:pPr>
    </w:p>
    <w:p>
      <w:pPr>
        <w:widowControl/>
        <w:spacing w:line="600" w:lineRule="exact"/>
        <w:ind w:firstLine="640" w:firstLineChars="200"/>
        <w:jc w:val="left"/>
        <w:outlineLvl w:val="0"/>
        <w:rPr>
          <w:rFonts w:hint="eastAsia" w:ascii="Calibri" w:eastAsia="仿宋_GB2312"/>
          <w:b/>
          <w:bCs/>
          <w:color w:val="000000"/>
          <w:sz w:val="32"/>
          <w:szCs w:val="32"/>
        </w:rPr>
      </w:pPr>
      <w:r>
        <w:rPr>
          <w:rFonts w:hint="eastAsia" w:ascii="仿宋_GB2312" w:eastAsia="仿宋_GB2312"/>
          <w:b/>
          <w:bCs/>
          <w:color w:val="000000"/>
          <w:sz w:val="32"/>
          <w:szCs w:val="32"/>
        </w:rPr>
        <w:t>附件：</w:t>
      </w:r>
    </w:p>
    <w:p>
      <w:pPr>
        <w:widowControl/>
        <w:spacing w:line="600" w:lineRule="exact"/>
        <w:ind w:firstLine="640" w:firstLineChars="200"/>
        <w:jc w:val="left"/>
        <w:outlineLvl w:val="1"/>
        <w:rPr>
          <w:rFonts w:eastAsia="仿宋_GB2312"/>
          <w:color w:val="000000"/>
          <w:sz w:val="32"/>
          <w:szCs w:val="32"/>
        </w:rPr>
      </w:pPr>
      <w:r>
        <w:rPr>
          <w:rFonts w:eastAsia="仿宋_GB2312"/>
          <w:color w:val="000000"/>
          <w:sz w:val="32"/>
          <w:szCs w:val="32"/>
        </w:rPr>
        <w:t>1</w:t>
      </w:r>
      <w:r>
        <w:rPr>
          <w:rFonts w:hint="eastAsia" w:ascii="仿宋_GB2312" w:eastAsia="仿宋_GB2312"/>
          <w:color w:val="000000"/>
          <w:sz w:val="32"/>
          <w:szCs w:val="32"/>
        </w:rPr>
        <w:t>、2021年度部门整体支出绩效评价基础数据表</w:t>
      </w:r>
    </w:p>
    <w:p>
      <w:pPr>
        <w:widowControl/>
        <w:spacing w:line="600" w:lineRule="exact"/>
        <w:ind w:firstLine="640" w:firstLineChars="200"/>
        <w:jc w:val="left"/>
        <w:outlineLvl w:val="1"/>
        <w:rPr>
          <w:rFonts w:eastAsia="仿宋_GB2312"/>
          <w:color w:val="000000"/>
          <w:sz w:val="32"/>
          <w:szCs w:val="32"/>
        </w:rPr>
      </w:pPr>
      <w:r>
        <w:rPr>
          <w:rFonts w:hint="eastAsia" w:eastAsia="仿宋_GB2312"/>
          <w:color w:val="000000"/>
          <w:sz w:val="32"/>
          <w:szCs w:val="32"/>
        </w:rPr>
        <w:t>2</w:t>
      </w:r>
      <w:r>
        <w:rPr>
          <w:rFonts w:hint="eastAsia" w:ascii="仿宋_GB2312" w:eastAsia="仿宋_GB2312"/>
          <w:color w:val="000000"/>
          <w:sz w:val="32"/>
          <w:szCs w:val="32"/>
        </w:rPr>
        <w:t>、2021年度部门整体支出绩效自评表</w:t>
      </w:r>
    </w:p>
    <w:p>
      <w:pPr>
        <w:ind w:firstLine="420" w:firstLineChars="200"/>
        <w:rPr>
          <w:rFonts w:hint="eastAsia" w:ascii="Calibri" w:hAnsi="Calibri" w:eastAsia="宋体"/>
          <w:szCs w:val="21"/>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hint="eastAsia"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rPr>
          <w:rFonts w:hint="eastAsia" w:ascii="仿宋_GB2312" w:hAnsi="Times New Roman" w:eastAsia="仿宋_GB2312"/>
          <w:sz w:val="28"/>
          <w:szCs w:val="28"/>
        </w:rPr>
        <w:sectPr>
          <w:pgSz w:w="11906" w:h="16838"/>
          <w:pgMar w:top="720" w:right="720" w:bottom="720" w:left="720" w:header="851" w:footer="992" w:gutter="0"/>
          <w:cols w:space="425" w:num="1"/>
          <w:docGrid w:type="linesAndChars" w:linePitch="312" w:charSpace="0"/>
        </w:sectPr>
      </w:pPr>
    </w:p>
    <w:p>
      <w:pPr>
        <w:rPr>
          <w:rFonts w:hint="eastAsia" w:ascii="仿宋_GB2312" w:hAnsi="Times New Roman" w:eastAsia="仿宋_GB2312"/>
          <w:sz w:val="28"/>
          <w:szCs w:val="28"/>
        </w:rPr>
      </w:pPr>
    </w:p>
    <w:p>
      <w:pPr>
        <w:rPr>
          <w:rFonts w:hint="eastAsia" w:ascii="仿宋_GB2312" w:hAnsi="Times New Roman" w:eastAsia="仿宋_GB2312"/>
          <w:sz w:val="28"/>
          <w:szCs w:val="28"/>
        </w:rPr>
      </w:pPr>
      <w:r>
        <w:rPr>
          <w:rFonts w:hint="eastAsia" w:ascii="仿宋_GB2312" w:hAnsi="Times New Roman" w:eastAsia="仿宋_GB2312"/>
          <w:sz w:val="28"/>
          <w:szCs w:val="28"/>
        </w:rPr>
        <w:t>附件1</w:t>
      </w:r>
    </w:p>
    <w:p>
      <w:pPr>
        <w:spacing w:beforeLines="50" w:afterLines="50" w:line="560" w:lineRule="exact"/>
        <w:jc w:val="center"/>
        <w:rPr>
          <w:rFonts w:ascii="Times New Roman" w:hAnsi="Times New Roman" w:eastAsia="方正小标宋简体"/>
          <w:kern w:val="0"/>
          <w:sz w:val="36"/>
          <w:szCs w:val="36"/>
        </w:rPr>
      </w:pPr>
      <w:r>
        <w:rPr>
          <w:rFonts w:ascii="Times New Roman" w:hAnsi="Times New Roman" w:eastAsia="方正小标宋简体"/>
          <w:kern w:val="0"/>
          <w:sz w:val="36"/>
          <w:szCs w:val="36"/>
        </w:rPr>
        <w:t>2021</w:t>
      </w:r>
      <w:r>
        <w:rPr>
          <w:rFonts w:hint="eastAsia" w:ascii="宋体" w:hAnsi="宋体" w:eastAsia="宋体" w:cs="宋体"/>
          <w:kern w:val="0"/>
          <w:sz w:val="36"/>
          <w:szCs w:val="36"/>
        </w:rPr>
        <w:t>年度部门整体支出绩效评价基础数据表</w:t>
      </w:r>
    </w:p>
    <w:p>
      <w:pPr>
        <w:widowControl/>
        <w:ind w:left="91"/>
        <w:rPr>
          <w:rFonts w:ascii="Times New Roman" w:hAnsi="Times New Roman" w:eastAsia="仿宋_GB2312"/>
          <w:kern w:val="0"/>
          <w:sz w:val="24"/>
          <w:szCs w:val="24"/>
        </w:rPr>
      </w:pPr>
      <w:r>
        <w:rPr>
          <w:rFonts w:ascii="Times New Roman" w:hAnsi="Times New Roman" w:eastAsia="仿宋_GB2312"/>
          <w:kern w:val="0"/>
          <w:sz w:val="24"/>
          <w:szCs w:val="24"/>
        </w:rPr>
        <w:t xml:space="preserve">         </w:t>
      </w:r>
      <w:r>
        <w:rPr>
          <w:rFonts w:ascii="Times New Roman" w:hAnsi="Times New Roman" w:eastAsia="仿宋_GB2312"/>
          <w:kern w:val="0"/>
          <w:sz w:val="24"/>
          <w:szCs w:val="24"/>
        </w:rPr>
        <w:tab/>
      </w:r>
      <w:r>
        <w:rPr>
          <w:rFonts w:ascii="Times New Roman" w:hAnsi="Times New Roman" w:eastAsia="仿宋_GB2312"/>
          <w:kern w:val="0"/>
          <w:sz w:val="24"/>
          <w:szCs w:val="24"/>
        </w:rPr>
        <w:tab/>
      </w:r>
      <w:r>
        <w:rPr>
          <w:rFonts w:ascii="Times New Roman" w:hAnsi="Times New Roman" w:eastAsia="仿宋_GB2312"/>
          <w:kern w:val="0"/>
          <w:sz w:val="24"/>
          <w:szCs w:val="24"/>
        </w:rPr>
        <w:tab/>
      </w:r>
      <w:r>
        <w:rPr>
          <w:rFonts w:ascii="Times New Roman" w:hAnsi="Times New Roman" w:eastAsia="仿宋_GB2312"/>
          <w:kern w:val="0"/>
          <w:sz w:val="24"/>
          <w:szCs w:val="24"/>
        </w:rPr>
        <w:tab/>
      </w:r>
      <w:r>
        <w:rPr>
          <w:rFonts w:ascii="Times New Roman" w:hAnsi="Times New Roman" w:eastAsia="仿宋_GB2312"/>
          <w:kern w:val="0"/>
          <w:sz w:val="24"/>
          <w:szCs w:val="24"/>
        </w:rPr>
        <w:tab/>
      </w:r>
      <w:r>
        <w:rPr>
          <w:rFonts w:ascii="Times New Roman" w:hAnsi="Times New Roman" w:eastAsia="仿宋_GB2312"/>
          <w:kern w:val="0"/>
          <w:sz w:val="24"/>
          <w:szCs w:val="24"/>
        </w:rPr>
        <w:tab/>
      </w:r>
    </w:p>
    <w:tbl>
      <w:tblPr>
        <w:tblStyle w:val="7"/>
        <w:tblW w:w="0" w:type="auto"/>
        <w:jc w:val="center"/>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CellMar>
            <w:top w:w="0" w:type="dxa"/>
            <w:left w:w="108" w:type="dxa"/>
            <w:bottom w:w="0" w:type="dxa"/>
            <w:right w:w="108" w:type="dxa"/>
          </w:tblCellMar>
        </w:tblPrEx>
        <w:trPr>
          <w:trHeight w:val="397" w:hRule="atLeast"/>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b/>
                <w:bCs/>
                <w:kern w:val="0"/>
                <w:szCs w:val="21"/>
              </w:rPr>
            </w:pPr>
            <w:r>
              <w:rPr>
                <w:rFonts w:ascii="Times New Roman" w:hAnsi="Times New Roman" w:eastAsia="仿宋_GB2312"/>
                <w:b/>
                <w:bCs/>
                <w:kern w:val="0"/>
              </w:rPr>
              <w:t>编制数</w:t>
            </w:r>
          </w:p>
        </w:tc>
        <w:tc>
          <w:tcPr>
            <w:tcW w:w="2240"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b/>
                <w:bCs/>
                <w:kern w:val="0"/>
                <w:szCs w:val="21"/>
              </w:rPr>
            </w:pPr>
            <w:r>
              <w:rPr>
                <w:rFonts w:ascii="Times New Roman" w:hAnsi="Times New Roman" w:eastAsia="仿宋_GB2312"/>
                <w:b/>
                <w:bCs/>
                <w:kern w:val="0"/>
              </w:rPr>
              <w:t>2021年实际在职人数</w:t>
            </w:r>
          </w:p>
        </w:tc>
        <w:tc>
          <w:tcPr>
            <w:tcW w:w="1832"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b/>
                <w:bCs/>
                <w:kern w:val="0"/>
                <w:szCs w:val="21"/>
              </w:rPr>
            </w:pPr>
            <w:r>
              <w:rPr>
                <w:rFonts w:ascii="Times New Roman" w:hAnsi="Times New Roman" w:eastAsia="仿宋_GB2312"/>
                <w:b/>
                <w:bCs/>
                <w:kern w:val="0"/>
              </w:rPr>
              <w:t>控制率</w:t>
            </w:r>
          </w:p>
        </w:tc>
      </w:tr>
      <w:tr>
        <w:tblPrEx>
          <w:tblCellMar>
            <w:top w:w="0" w:type="dxa"/>
            <w:left w:w="108" w:type="dxa"/>
            <w:bottom w:w="0" w:type="dxa"/>
            <w:right w:w="108" w:type="dxa"/>
          </w:tblCellMar>
        </w:tblPrEx>
        <w:trPr>
          <w:trHeight w:val="397" w:hRule="atLeast"/>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p>
        </w:tc>
        <w:tc>
          <w:tcPr>
            <w:tcW w:w="2038"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36</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32</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88.89%</w:t>
            </w:r>
          </w:p>
        </w:tc>
      </w:tr>
      <w:tr>
        <w:tblPrEx>
          <w:tblCellMar>
            <w:top w:w="0" w:type="dxa"/>
            <w:left w:w="108" w:type="dxa"/>
            <w:bottom w:w="0" w:type="dxa"/>
            <w:right w:w="108" w:type="dxa"/>
          </w:tblCellMar>
        </w:tblPrEx>
        <w:trPr>
          <w:trHeight w:val="409"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b/>
                <w:bCs/>
                <w:kern w:val="0"/>
                <w:szCs w:val="21"/>
              </w:rPr>
            </w:pPr>
            <w:r>
              <w:rPr>
                <w:rFonts w:hint="eastAsia" w:ascii="Times New Roman" w:hAnsi="Times New Roman" w:eastAsia="仿宋_GB2312"/>
                <w:b/>
                <w:bCs/>
                <w:kern w:val="0"/>
              </w:rPr>
              <w:t>2020</w:t>
            </w:r>
            <w:r>
              <w:rPr>
                <w:rFonts w:ascii="Times New Roman" w:hAnsi="Times New Roman" w:eastAsia="仿宋_GB2312"/>
                <w:b/>
                <w:bCs/>
                <w:kern w:val="0"/>
              </w:rPr>
              <w:t>年决算数</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b/>
                <w:bCs/>
                <w:kern w:val="0"/>
                <w:szCs w:val="21"/>
              </w:rPr>
            </w:pPr>
            <w:r>
              <w:rPr>
                <w:rFonts w:ascii="Times New Roman" w:hAnsi="Times New Roman" w:eastAsia="仿宋_GB2312"/>
                <w:b/>
                <w:bCs/>
                <w:kern w:val="0"/>
              </w:rPr>
              <w:t>2021年预算数</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b/>
                <w:bCs/>
                <w:kern w:val="0"/>
                <w:szCs w:val="21"/>
              </w:rPr>
            </w:pPr>
            <w:r>
              <w:rPr>
                <w:rFonts w:ascii="Times New Roman" w:hAnsi="Times New Roman" w:eastAsia="仿宋_GB2312"/>
                <w:b/>
                <w:bCs/>
                <w:kern w:val="0"/>
              </w:rPr>
              <w:t>2021年决算数</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三公经费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0.46</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0.45</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1</w:t>
            </w:r>
            <w:r>
              <w:rPr>
                <w:rFonts w:ascii="仿宋_GB2312" w:hAnsi="Times New Roman" w:eastAsia="仿宋_GB2312"/>
                <w:kern w:val="0"/>
              </w:rPr>
              <w:t>、公务用车购置和维护经费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2</w:t>
            </w:r>
            <w:r>
              <w:rPr>
                <w:rFonts w:ascii="仿宋_GB2312" w:hAnsi="Times New Roman" w:eastAsia="仿宋_GB2312"/>
                <w:kern w:val="0"/>
              </w:rPr>
              <w:t>、出国经费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3</w:t>
            </w:r>
            <w:r>
              <w:rPr>
                <w:rFonts w:ascii="仿宋_GB2312" w:hAnsi="Times New Roman" w:eastAsia="仿宋_GB2312"/>
                <w:kern w:val="0"/>
              </w:rPr>
              <w:t>、公务接待</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0.46</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0.45</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项目支出：</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821.40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705.47</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635.62</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1</w:t>
            </w:r>
            <w:r>
              <w:rPr>
                <w:rFonts w:ascii="仿宋_GB2312" w:hAnsi="Times New Roman" w:eastAsia="仿宋_GB2312"/>
                <w:kern w:val="0"/>
              </w:rPr>
              <w:t>、业务工作专项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3.50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2</w:t>
            </w:r>
            <w:r>
              <w:rPr>
                <w:rFonts w:ascii="仿宋_GB2312" w:hAnsi="Times New Roman" w:eastAsia="仿宋_GB2312"/>
                <w:kern w:val="0"/>
              </w:rPr>
              <w:t>、运行维护专项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3</w:t>
            </w:r>
            <w:r>
              <w:rPr>
                <w:rFonts w:ascii="仿宋_GB2312" w:hAnsi="Times New Roman" w:eastAsia="仿宋_GB2312"/>
                <w:kern w:val="0"/>
              </w:rPr>
              <w:t>、省级专项资金（一个专项一行）</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817.90</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705.47</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635.62</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rPr>
                <w:rFonts w:ascii="Times New Roman" w:hAnsi="Times New Roman" w:eastAsia="仿宋_GB2312"/>
                <w:kern w:val="0"/>
                <w:szCs w:val="21"/>
              </w:rPr>
            </w:pPr>
            <w:r>
              <w:rPr>
                <w:rFonts w:hint="eastAsia" w:eastAsia="仿宋_GB2312"/>
                <w:kern w:val="0"/>
              </w:rPr>
              <w:t>①</w:t>
            </w:r>
            <w:r>
              <w:rPr>
                <w:rFonts w:hint="eastAsia" w:eastAsia="仿宋_GB2312" w:cs="Calibri"/>
                <w:kern w:val="0"/>
              </w:rPr>
              <w:t>2020</w:t>
            </w:r>
            <w:r>
              <w:rPr>
                <w:rFonts w:hint="eastAsia" w:ascii="仿宋_GB2312" w:eastAsia="仿宋_GB2312"/>
                <w:kern w:val="0"/>
              </w:rPr>
              <w:t>年第八批创新型省份建设专项资金</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50</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46.03</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hint="eastAsia" w:ascii="宋体" w:hAnsi="宋体" w:eastAsia="宋体" w:cs="宋体"/>
                <w:kern w:val="0"/>
              </w:rPr>
              <w:t>②</w:t>
            </w:r>
            <w:r>
              <w:rPr>
                <w:rFonts w:hint="eastAsia" w:ascii="Times New Roman" w:hAnsi="Times New Roman" w:eastAsia="仿宋_GB2312"/>
                <w:kern w:val="0"/>
              </w:rPr>
              <w:t>运动营养品采购</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120</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120</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hint="eastAsia" w:ascii="宋体" w:hAnsi="宋体" w:eastAsia="宋体" w:cs="宋体"/>
                <w:kern w:val="0"/>
              </w:rPr>
              <w:t>③</w:t>
            </w:r>
            <w:r>
              <w:rPr>
                <w:rFonts w:hint="eastAsia" w:ascii="Times New Roman" w:hAnsi="Times New Roman" w:eastAsia="仿宋_GB2312"/>
                <w:kern w:val="0"/>
              </w:rPr>
              <w:t>反兴奋剂、科研、场馆</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50</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39.16</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hint="eastAsia"/>
              </w:rPr>
              <w:t>④</w:t>
            </w:r>
            <w:r>
              <w:rPr>
                <w:rFonts w:hint="eastAsia" w:ascii="Times New Roman" w:hAnsi="Times New Roman" w:eastAsia="仿宋_GB2312"/>
                <w:kern w:val="0"/>
              </w:rPr>
              <w:t>营养、反兴奋剂、科研、国民体质</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395</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339.96</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hint="eastAsia" w:ascii="宋体" w:hAnsi="宋体" w:eastAsia="宋体" w:cs="宋体"/>
                <w:kern w:val="0"/>
              </w:rPr>
              <w:t>⑤</w:t>
            </w:r>
            <w:r>
              <w:rPr>
                <w:rFonts w:hint="eastAsia" w:ascii="Times New Roman" w:hAnsi="Times New Roman" w:eastAsia="仿宋_GB2312"/>
                <w:kern w:val="0"/>
              </w:rPr>
              <w:t>2020</w:t>
            </w:r>
            <w:r>
              <w:rPr>
                <w:rFonts w:hint="eastAsia" w:ascii="仿宋_GB2312" w:hAnsi="Times New Roman" w:eastAsia="仿宋_GB2312"/>
                <w:kern w:val="0"/>
              </w:rPr>
              <w:t>年全民健身状况调查</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2</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2</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hint="eastAsia" w:ascii="宋体" w:hAnsi="宋体" w:eastAsia="宋体" w:cs="宋体"/>
                <w:kern w:val="0"/>
              </w:rPr>
              <w:t>⑥</w:t>
            </w:r>
            <w:r>
              <w:rPr>
                <w:rFonts w:hint="eastAsia" w:ascii="Times New Roman" w:hAnsi="Times New Roman" w:eastAsia="仿宋_GB2312"/>
                <w:kern w:val="0"/>
              </w:rPr>
              <w:t>文化体育项目补助资金</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88.47</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88.47</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公用经费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82.54</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75.03</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74.48</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4.85</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2</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3.77</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1.44</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0.93</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1.08</w:t>
            </w:r>
            <w:r>
              <w:rPr>
                <w:rFonts w:ascii="Times New Roman" w:hAnsi="Times New Roman" w:eastAsia="仿宋_GB2312"/>
                <w:kern w:val="0"/>
              </w:rPr>
              <w:t>　</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0.03</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360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358.82</w:t>
            </w:r>
            <w:r>
              <w:rPr>
                <w:rFonts w:ascii="Times New Roman" w:hAnsi="Times New Roman" w:eastAsia="仿宋_GB2312"/>
                <w:kern w:val="0"/>
              </w:rPr>
              <w:t>　</w:t>
            </w:r>
          </w:p>
        </w:tc>
      </w:tr>
      <w:tr>
        <w:tblPrEx>
          <w:tblCellMar>
            <w:top w:w="0" w:type="dxa"/>
            <w:left w:w="108" w:type="dxa"/>
            <w:bottom w:w="0" w:type="dxa"/>
            <w:right w:w="108" w:type="dxa"/>
          </w:tblCellMar>
        </w:tblPrEx>
        <w:trPr>
          <w:trHeight w:val="397"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w:t>
            </w:r>
          </w:p>
        </w:tc>
        <w:tc>
          <w:tcPr>
            <w:tcW w:w="2240"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c>
          <w:tcPr>
            <w:tcW w:w="1832" w:type="dxa"/>
            <w:gridSpan w:val="2"/>
            <w:tcBorders>
              <w:top w:val="single" w:color="auto" w:sz="4" w:space="0"/>
              <w:left w:val="nil"/>
              <w:bottom w:val="single" w:color="auto" w:sz="4" w:space="0"/>
              <w:right w:val="single" w:color="000000" w:sz="4" w:space="0"/>
            </w:tcBorders>
            <w:vAlign w:val="center"/>
          </w:tcPr>
          <w:p>
            <w:pPr>
              <w:widowControl/>
              <w:jc w:val="center"/>
              <w:rPr>
                <w:rFonts w:ascii="Times New Roman" w:hAnsi="Times New Roman" w:eastAsia="仿宋_GB2312"/>
                <w:kern w:val="0"/>
                <w:szCs w:val="21"/>
              </w:rPr>
            </w:pPr>
            <w:r>
              <w:rPr>
                <w:rFonts w:hint="eastAsia" w:ascii="Times New Roman" w:hAnsi="Times New Roman" w:eastAsia="仿宋_GB2312"/>
                <w:kern w:val="0"/>
              </w:rPr>
              <w:t>0</w:t>
            </w:r>
            <w:r>
              <w:rPr>
                <w:rFonts w:ascii="Times New Roman" w:hAnsi="Times New Roman" w:eastAsia="仿宋_GB2312"/>
                <w:kern w:val="0"/>
              </w:rPr>
              <w:t>　</w:t>
            </w:r>
          </w:p>
        </w:tc>
      </w:tr>
      <w:tr>
        <w:tblPrEx>
          <w:tblCellMar>
            <w:top w:w="0" w:type="dxa"/>
            <w:left w:w="108" w:type="dxa"/>
            <w:bottom w:w="0" w:type="dxa"/>
            <w:right w:w="108" w:type="dxa"/>
          </w:tblCellMar>
        </w:tblPrEx>
        <w:trPr>
          <w:trHeight w:val="837" w:hRule="atLeast"/>
          <w:jc w:val="center"/>
        </w:trPr>
        <w:tc>
          <w:tcPr>
            <w:tcW w:w="3354"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imes New Roman" w:hAnsi="Times New Roman" w:eastAsia="仿宋_GB2312"/>
                <w:kern w:val="0"/>
                <w:lang w:eastAsia="zh-CN"/>
              </w:rPr>
            </w:pPr>
            <w:r>
              <w:rPr>
                <w:rFonts w:ascii="Times New Roman" w:hAnsi="Times New Roman" w:eastAsia="仿宋_GB2312"/>
                <w:kern w:val="0"/>
              </w:rPr>
              <w:t>楼堂馆所控制情况</w:t>
            </w:r>
          </w:p>
          <w:p>
            <w:pPr>
              <w:widowControl/>
              <w:jc w:val="center"/>
              <w:rPr>
                <w:rFonts w:ascii="Times New Roman" w:hAnsi="Times New Roman" w:eastAsia="仿宋_GB2312"/>
                <w:kern w:val="0"/>
                <w:szCs w:val="21"/>
              </w:rPr>
            </w:pPr>
            <w:r>
              <w:rPr>
                <w:rFonts w:ascii="Times New Roman" w:hAnsi="Times New Roman" w:eastAsia="仿宋_GB2312"/>
                <w:kern w:val="0"/>
              </w:rPr>
              <w:t>（2021年完工项目）</w:t>
            </w:r>
          </w:p>
        </w:tc>
        <w:tc>
          <w:tcPr>
            <w:tcW w:w="1189"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_GB2312"/>
                <w:kern w:val="0"/>
                <w:lang w:eastAsia="zh-CN"/>
              </w:rPr>
            </w:pPr>
            <w:r>
              <w:rPr>
                <w:rFonts w:ascii="Times New Roman" w:hAnsi="Times New Roman" w:eastAsia="仿宋_GB2312"/>
                <w:kern w:val="0"/>
              </w:rPr>
              <w:t>批复规模</w:t>
            </w:r>
          </w:p>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w:t>
            </w:r>
            <w:r>
              <w:rPr>
                <w:rFonts w:ascii="Times New Roman" w:hAnsi="Times New Roman"/>
                <w:kern w:val="0"/>
              </w:rPr>
              <w:t>㎡</w:t>
            </w:r>
            <w:r>
              <w:rPr>
                <w:rFonts w:ascii="Times New Roman" w:hAnsi="Times New Roman" w:eastAsia="仿宋_GB2312"/>
                <w:kern w:val="0"/>
              </w:rPr>
              <w:t>）</w:t>
            </w:r>
          </w:p>
        </w:tc>
        <w:tc>
          <w:tcPr>
            <w:tcW w:w="84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实际规模（</w:t>
            </w:r>
            <w:r>
              <w:rPr>
                <w:rFonts w:ascii="Times New Roman" w:hAnsi="Times New Roman"/>
                <w:kern w:val="0"/>
              </w:rPr>
              <w:t>㎡</w:t>
            </w:r>
            <w:r>
              <w:rPr>
                <w:rFonts w:ascii="Times New Roman" w:hAnsi="Times New Roman" w:eastAsia="仿宋_GB2312"/>
                <w:kern w:val="0"/>
              </w:rPr>
              <w:t>）</w:t>
            </w:r>
          </w:p>
        </w:tc>
        <w:tc>
          <w:tcPr>
            <w:tcW w:w="112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规模控制率</w:t>
            </w:r>
          </w:p>
        </w:tc>
        <w:tc>
          <w:tcPr>
            <w:tcW w:w="111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预算投资（万元）</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实际投资（万元）</w:t>
            </w:r>
          </w:p>
        </w:tc>
        <w:tc>
          <w:tcPr>
            <w:tcW w:w="86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kern w:val="0"/>
                <w:szCs w:val="21"/>
              </w:rPr>
            </w:pPr>
            <w:r>
              <w:rPr>
                <w:rFonts w:ascii="Times New Roman" w:hAnsi="Times New Roman" w:eastAsia="仿宋_GB2312"/>
                <w:kern w:val="0"/>
              </w:rPr>
              <w:t>投资概算控制率</w:t>
            </w:r>
          </w:p>
        </w:tc>
      </w:tr>
      <w:tr>
        <w:tblPrEx>
          <w:tblCellMar>
            <w:top w:w="0" w:type="dxa"/>
            <w:left w:w="108" w:type="dxa"/>
            <w:bottom w:w="0" w:type="dxa"/>
            <w:right w:w="108" w:type="dxa"/>
          </w:tblCellMar>
        </w:tblPrEx>
        <w:trPr>
          <w:trHeight w:val="454" w:hRule="atLeast"/>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kern w:val="0"/>
                <w:szCs w:val="21"/>
              </w:rPr>
            </w:pPr>
          </w:p>
        </w:tc>
        <w:tc>
          <w:tcPr>
            <w:tcW w:w="1189" w:type="dxa"/>
            <w:tcBorders>
              <w:top w:val="nil"/>
              <w:left w:val="nil"/>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w:t>
            </w:r>
          </w:p>
        </w:tc>
        <w:tc>
          <w:tcPr>
            <w:tcW w:w="849" w:type="dxa"/>
            <w:tcBorders>
              <w:top w:val="nil"/>
              <w:left w:val="nil"/>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w:t>
            </w:r>
          </w:p>
        </w:tc>
        <w:tc>
          <w:tcPr>
            <w:tcW w:w="1129" w:type="dxa"/>
            <w:tcBorders>
              <w:top w:val="nil"/>
              <w:left w:val="nil"/>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 xml:space="preserve">  0</w:t>
            </w:r>
          </w:p>
        </w:tc>
        <w:tc>
          <w:tcPr>
            <w:tcW w:w="1111" w:type="dxa"/>
            <w:tcBorders>
              <w:top w:val="nil"/>
              <w:left w:val="nil"/>
              <w:bottom w:val="single" w:color="auto" w:sz="4" w:space="0"/>
              <w:right w:val="single" w:color="auto" w:sz="4" w:space="0"/>
            </w:tcBorders>
            <w:vAlign w:val="center"/>
          </w:tcPr>
          <w:p>
            <w:pPr>
              <w:widowControl/>
              <w:ind w:firstLine="210" w:firstLineChars="100"/>
              <w:jc w:val="left"/>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w:t>
            </w:r>
          </w:p>
        </w:tc>
        <w:tc>
          <w:tcPr>
            <w:tcW w:w="969" w:type="dxa"/>
            <w:tcBorders>
              <w:top w:val="nil"/>
              <w:left w:val="nil"/>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 xml:space="preserve"> 0</w:t>
            </w:r>
          </w:p>
        </w:tc>
        <w:tc>
          <w:tcPr>
            <w:tcW w:w="863" w:type="dxa"/>
            <w:tcBorders>
              <w:top w:val="nil"/>
              <w:left w:val="nil"/>
              <w:bottom w:val="single" w:color="auto" w:sz="4" w:space="0"/>
              <w:right w:val="single" w:color="auto" w:sz="4" w:space="0"/>
            </w:tcBorders>
            <w:vAlign w:val="center"/>
          </w:tcPr>
          <w:p>
            <w:pPr>
              <w:widowControl/>
              <w:jc w:val="left"/>
              <w:rPr>
                <w:rFonts w:ascii="Times New Roman" w:hAnsi="Times New Roman" w:eastAsia="仿宋_GB2312"/>
                <w:kern w:val="0"/>
                <w:szCs w:val="21"/>
              </w:rPr>
            </w:pPr>
            <w:r>
              <w:rPr>
                <w:rFonts w:ascii="Times New Roman" w:hAnsi="Times New Roman" w:eastAsia="仿宋_GB2312"/>
                <w:kern w:val="0"/>
              </w:rPr>
              <w:t>　</w:t>
            </w:r>
            <w:r>
              <w:rPr>
                <w:rFonts w:hint="eastAsia" w:ascii="Times New Roman" w:hAnsi="Times New Roman" w:eastAsia="仿宋_GB2312"/>
                <w:kern w:val="0"/>
              </w:rPr>
              <w:t>0</w:t>
            </w:r>
          </w:p>
        </w:tc>
      </w:tr>
      <w:tr>
        <w:tblPrEx>
          <w:tblCellMar>
            <w:top w:w="0" w:type="dxa"/>
            <w:left w:w="108" w:type="dxa"/>
            <w:bottom w:w="0" w:type="dxa"/>
            <w:right w:w="108" w:type="dxa"/>
          </w:tblCellMar>
        </w:tblPrEx>
        <w:trPr>
          <w:trHeight w:val="756" w:hRule="atLeast"/>
          <w:jc w:val="center"/>
        </w:trPr>
        <w:tc>
          <w:tcPr>
            <w:tcW w:w="3354"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_GB2312"/>
                <w:kern w:val="0"/>
                <w:szCs w:val="21"/>
              </w:rPr>
            </w:pPr>
            <w:r>
              <w:rPr>
                <w:rFonts w:ascii="Times New Roman" w:hAnsi="Times New Roman" w:eastAsia="仿宋_GB2312"/>
                <w:kern w:val="0"/>
              </w:rPr>
              <w:t>厉行节约保障措施</w:t>
            </w:r>
          </w:p>
        </w:tc>
        <w:tc>
          <w:tcPr>
            <w:tcW w:w="6110" w:type="dxa"/>
            <w:gridSpan w:val="6"/>
            <w:tcBorders>
              <w:top w:val="single" w:color="auto" w:sz="4" w:space="0"/>
              <w:left w:val="nil"/>
              <w:bottom w:val="single" w:color="auto" w:sz="4" w:space="0"/>
              <w:right w:val="single" w:color="000000" w:sz="4" w:space="0"/>
            </w:tcBorders>
            <w:vAlign w:val="center"/>
          </w:tcPr>
          <w:p>
            <w:pPr>
              <w:ind w:firstLine="480" w:firstLineChars="200"/>
              <w:rPr>
                <w:rFonts w:ascii="Calibri" w:hAnsi="Calibri"/>
                <w:sz w:val="24"/>
                <w:szCs w:val="24"/>
              </w:rPr>
            </w:pPr>
            <w:r>
              <w:rPr>
                <w:rFonts w:hint="eastAsia" w:ascii="仿宋" w:hAnsi="仿宋" w:eastAsia="仿宋"/>
                <w:sz w:val="24"/>
                <w:szCs w:val="24"/>
              </w:rPr>
              <w:t>为创建湖南省体育局文明单位，大力弘扬艰苦奋斗的优良传统和作风，坚持勤俭节约，体科所采取了一系列厉行节约的措施，具体如下：</w:t>
            </w:r>
          </w:p>
          <w:p>
            <w:pPr>
              <w:ind w:firstLine="480" w:firstLineChars="200"/>
              <w:rPr>
                <w:rFonts w:hint="eastAsia" w:ascii="仿宋" w:hAnsi="仿宋" w:eastAsia="仿宋"/>
                <w:sz w:val="24"/>
                <w:szCs w:val="24"/>
              </w:rPr>
            </w:pPr>
            <w:r>
              <w:rPr>
                <w:rFonts w:hint="eastAsia" w:ascii="仿宋" w:hAnsi="仿宋" w:eastAsia="仿宋"/>
                <w:sz w:val="24"/>
                <w:szCs w:val="24"/>
              </w:rPr>
              <w:t>一、签订厉行节约承诺书。与各科室主任签署厉行节约承诺书。</w:t>
            </w:r>
          </w:p>
          <w:p>
            <w:pPr>
              <w:ind w:firstLine="480" w:firstLineChars="200"/>
              <w:rPr>
                <w:rFonts w:hint="eastAsia" w:ascii="仿宋" w:hAnsi="仿宋" w:eastAsia="仿宋"/>
                <w:sz w:val="24"/>
                <w:szCs w:val="24"/>
              </w:rPr>
            </w:pPr>
            <w:r>
              <w:rPr>
                <w:rFonts w:hint="eastAsia" w:ascii="仿宋" w:hAnsi="仿宋" w:eastAsia="仿宋"/>
                <w:sz w:val="24"/>
                <w:szCs w:val="24"/>
              </w:rPr>
              <w:t>二、压缩办公经费。加强办公用品管理，实行领用登记制度，尽量购买简单、朴素、实用的办公用品和日常用品，延长其使用寿命。能用的绝不更换，丢弃使用是做到不铺张不浪费，如资料印刷方面，尽量做到废纸再利用，实行无纸化办公。</w:t>
            </w:r>
          </w:p>
          <w:p>
            <w:pPr>
              <w:ind w:firstLine="480" w:firstLineChars="200"/>
              <w:rPr>
                <w:rFonts w:hint="eastAsia" w:ascii="仿宋" w:hAnsi="仿宋" w:eastAsia="仿宋"/>
                <w:sz w:val="24"/>
                <w:szCs w:val="24"/>
              </w:rPr>
            </w:pPr>
            <w:r>
              <w:rPr>
                <w:rFonts w:hint="eastAsia" w:ascii="仿宋" w:hAnsi="仿宋" w:eastAsia="仿宋"/>
                <w:sz w:val="24"/>
                <w:szCs w:val="24"/>
              </w:rPr>
              <w:t>三、节约压缩通讯费用。可保留可撤销的话机一律予以撤销，尽量使用局系统内个人手机短码。只保留公用可传真的电话机两台，严禁用公用电话打私人电话聊天等。</w:t>
            </w:r>
          </w:p>
          <w:p>
            <w:pPr>
              <w:ind w:firstLine="480" w:firstLineChars="200"/>
              <w:rPr>
                <w:rFonts w:hint="eastAsia" w:ascii="仿宋" w:hAnsi="仿宋" w:eastAsia="仿宋"/>
                <w:sz w:val="24"/>
                <w:szCs w:val="24"/>
              </w:rPr>
            </w:pPr>
            <w:r>
              <w:rPr>
                <w:rFonts w:hint="eastAsia" w:ascii="仿宋" w:hAnsi="仿宋" w:eastAsia="仿宋"/>
                <w:sz w:val="24"/>
                <w:szCs w:val="24"/>
              </w:rPr>
              <w:t>四、开展“厉行节约，加入光盘行动”活动，拒绝舌尖上的浪费，选择简朴的生活方式，从自己做起，勿以善小而不为。</w:t>
            </w:r>
          </w:p>
          <w:p>
            <w:pPr>
              <w:ind w:firstLine="480" w:firstLineChars="200"/>
              <w:rPr>
                <w:rFonts w:hint="eastAsia" w:ascii="仿宋" w:hAnsi="仿宋" w:eastAsia="仿宋"/>
                <w:sz w:val="24"/>
                <w:szCs w:val="24"/>
              </w:rPr>
            </w:pPr>
            <w:r>
              <w:rPr>
                <w:rFonts w:hint="eastAsia" w:ascii="仿宋" w:hAnsi="仿宋" w:eastAsia="仿宋"/>
                <w:sz w:val="24"/>
                <w:szCs w:val="24"/>
              </w:rPr>
              <w:t>五、节约用水、用电、用空调。电灯尽量少开不开，离开办公室随手关灯，关空调、电脑等电器，严格控制空调温度，夏季室内空调，空调温度在28度以上才允许开空调，而且空调设置温度不得低于26度，冬季室温在5度以下才允许开空调，空调设置温度不得高于22度。加强节水意识，及时关紧水龙头，遇有损坏漏水，及时报修。</w:t>
            </w:r>
          </w:p>
          <w:p>
            <w:pPr>
              <w:ind w:firstLine="480" w:firstLineChars="200"/>
              <w:rPr>
                <w:rFonts w:hint="eastAsia" w:ascii="仿宋" w:hAnsi="仿宋" w:eastAsia="仿宋"/>
                <w:sz w:val="24"/>
                <w:szCs w:val="24"/>
              </w:rPr>
            </w:pPr>
            <w:r>
              <w:rPr>
                <w:rFonts w:hint="eastAsia" w:ascii="仿宋" w:hAnsi="仿宋" w:eastAsia="仿宋"/>
                <w:sz w:val="24"/>
                <w:szCs w:val="24"/>
              </w:rPr>
              <w:t>六、节约压缩招待费用，倡导食堂用餐，节俭用餐，文明用餐，严格按财务制度报销招待费用。不奢侈浪费，不超标准接待，同时控制陪客人数，尽量在食堂接待。严格控制外出聚餐等活动，尽量不举办节日庆典、聚会、会议等各种高消耗的活动。</w:t>
            </w:r>
          </w:p>
          <w:p>
            <w:pPr>
              <w:widowControl/>
              <w:jc w:val="center"/>
              <w:rPr>
                <w:rFonts w:ascii="Times New Roman" w:hAnsi="Times New Roman" w:eastAsia="仿宋_GB2312"/>
                <w:kern w:val="0"/>
                <w:szCs w:val="21"/>
              </w:rPr>
            </w:pPr>
            <w:r>
              <w:rPr>
                <w:rFonts w:ascii="Times New Roman" w:hAnsi="Times New Roman" w:eastAsia="仿宋_GB2312"/>
                <w:kern w:val="0"/>
              </w:rPr>
              <w:t>　</w:t>
            </w:r>
          </w:p>
        </w:tc>
      </w:tr>
    </w:tbl>
    <w:p>
      <w:pPr>
        <w:widowControl/>
        <w:jc w:val="left"/>
        <w:rPr>
          <w:rFonts w:ascii="Times New Roman" w:hAnsi="Times New Roman" w:eastAsia="仿宋_GB2312" w:cs="Times New Roman"/>
          <w:kern w:val="0"/>
          <w:sz w:val="22"/>
        </w:rPr>
      </w:pPr>
      <w:r>
        <w:rPr>
          <w:rFonts w:ascii="仿宋_GB2312" w:hAnsi="Times New Roman" w:eastAsia="仿宋_GB2312"/>
          <w:kern w:val="0"/>
          <w:sz w:val="22"/>
        </w:rPr>
        <w:t>说明：</w:t>
      </w:r>
      <w:r>
        <w:rPr>
          <w:rFonts w:ascii="Times New Roman" w:hAnsi="Times New Roman" w:eastAsia="仿宋_GB2312"/>
          <w:kern w:val="0"/>
          <w:sz w:val="22"/>
        </w:rPr>
        <w:t>“</w:t>
      </w:r>
      <w:r>
        <w:rPr>
          <w:rFonts w:ascii="仿宋_GB2312" w:hAnsi="Times New Roman" w:eastAsia="仿宋_GB2312"/>
          <w:kern w:val="0"/>
          <w:sz w:val="22"/>
        </w:rPr>
        <w:t>项目支出</w:t>
      </w:r>
      <w:r>
        <w:rPr>
          <w:rFonts w:ascii="Times New Roman" w:hAnsi="Times New Roman" w:eastAsia="仿宋_GB2312"/>
          <w:kern w:val="0"/>
          <w:sz w:val="22"/>
        </w:rPr>
        <w:t>”</w:t>
      </w:r>
      <w:r>
        <w:rPr>
          <w:rFonts w:ascii="仿宋_GB2312" w:hAnsi="Times New Roman" w:eastAsia="仿宋_GB2312"/>
          <w:kern w:val="0"/>
          <w:sz w:val="22"/>
        </w:rPr>
        <w:t>需要填报基本支出以外的所有项目支出情况，</w:t>
      </w:r>
      <w:r>
        <w:rPr>
          <w:rFonts w:ascii="Times New Roman" w:hAnsi="Times New Roman" w:eastAsia="仿宋_GB2312"/>
          <w:kern w:val="0"/>
          <w:sz w:val="22"/>
        </w:rPr>
        <w:t>“</w:t>
      </w:r>
      <w:r>
        <w:rPr>
          <w:rFonts w:ascii="仿宋_GB2312" w:hAnsi="Times New Roman" w:eastAsia="仿宋_GB2312"/>
          <w:kern w:val="0"/>
          <w:sz w:val="22"/>
        </w:rPr>
        <w:t>公用经费</w:t>
      </w:r>
      <w:r>
        <w:rPr>
          <w:rFonts w:ascii="Times New Roman" w:hAnsi="Times New Roman" w:eastAsia="仿宋_GB2312"/>
          <w:kern w:val="0"/>
          <w:sz w:val="22"/>
        </w:rPr>
        <w:t>”</w:t>
      </w:r>
      <w:r>
        <w:rPr>
          <w:rFonts w:ascii="仿宋_GB2312" w:hAnsi="Times New Roman" w:eastAsia="仿宋_GB2312"/>
          <w:kern w:val="0"/>
          <w:sz w:val="22"/>
        </w:rPr>
        <w:t>填报基本支出中的一般商品和服务支出。</w:t>
      </w:r>
    </w:p>
    <w:p>
      <w:pPr>
        <w:rPr>
          <w:rFonts w:ascii="Times New Roman" w:hAnsi="Times New Roman" w:eastAsia="仿宋_GB2312"/>
          <w:kern w:val="0"/>
          <w:sz w:val="22"/>
        </w:rPr>
      </w:pPr>
      <w:r>
        <w:rPr>
          <w:rFonts w:ascii="Times New Roman" w:hAnsi="Times New Roman" w:eastAsia="仿宋_GB2312"/>
          <w:kern w:val="0"/>
          <w:sz w:val="22"/>
        </w:rPr>
        <w:t xml:space="preserve"> </w:t>
      </w:r>
    </w:p>
    <w:p>
      <w:pPr>
        <w:rPr>
          <w:rFonts w:ascii="Times New Roman" w:hAnsi="Times New Roman" w:eastAsia="仿宋_GB2312"/>
          <w:kern w:val="0"/>
          <w:sz w:val="22"/>
        </w:rPr>
      </w:pPr>
      <w:r>
        <w:rPr>
          <w:rFonts w:ascii="仿宋_GB2312" w:hAnsi="Times New Roman" w:eastAsia="仿宋_GB2312"/>
          <w:kern w:val="0"/>
          <w:sz w:val="22"/>
        </w:rPr>
        <w:t>填表人：</w:t>
      </w:r>
      <w:r>
        <w:rPr>
          <w:rFonts w:hint="eastAsia" w:ascii="仿宋_GB2312" w:hAnsi="Times New Roman" w:eastAsia="仿宋_GB2312"/>
          <w:kern w:val="0"/>
          <w:sz w:val="22"/>
        </w:rPr>
        <w:t>谢娜</w:t>
      </w:r>
      <w:r>
        <w:rPr>
          <w:rFonts w:ascii="Times New Roman" w:hAnsi="Times New Roman" w:eastAsia="仿宋_GB2312"/>
          <w:kern w:val="0"/>
          <w:sz w:val="22"/>
        </w:rPr>
        <w:t xml:space="preserve">    </w:t>
      </w:r>
      <w:r>
        <w:rPr>
          <w:rFonts w:ascii="仿宋_GB2312" w:hAnsi="Times New Roman" w:eastAsia="仿宋_GB2312"/>
          <w:kern w:val="0"/>
          <w:sz w:val="22"/>
        </w:rPr>
        <w:t>填报日期：</w:t>
      </w:r>
      <w:r>
        <w:rPr>
          <w:rFonts w:hint="eastAsia" w:ascii="Times New Roman" w:hAnsi="Times New Roman" w:eastAsia="仿宋_GB2312"/>
          <w:kern w:val="0"/>
          <w:sz w:val="22"/>
        </w:rPr>
        <w:t>2022.4.12</w:t>
      </w:r>
      <w:r>
        <w:rPr>
          <w:rFonts w:ascii="Times New Roman" w:hAnsi="Times New Roman" w:eastAsia="仿宋_GB2312"/>
          <w:kern w:val="0"/>
          <w:sz w:val="22"/>
        </w:rPr>
        <w:t xml:space="preserve">  </w:t>
      </w:r>
      <w:r>
        <w:rPr>
          <w:rFonts w:ascii="仿宋_GB2312" w:hAnsi="Times New Roman" w:eastAsia="仿宋_GB2312"/>
          <w:kern w:val="0"/>
          <w:sz w:val="22"/>
        </w:rPr>
        <w:t>联系电话：</w:t>
      </w:r>
      <w:r>
        <w:rPr>
          <w:rFonts w:hint="eastAsia" w:ascii="Times New Roman" w:hAnsi="Times New Roman" w:eastAsia="仿宋_GB2312"/>
          <w:kern w:val="0"/>
          <w:sz w:val="22"/>
        </w:rPr>
        <w:t>0731-84555271</w:t>
      </w:r>
      <w:r>
        <w:rPr>
          <w:rFonts w:ascii="Times New Roman" w:hAnsi="Times New Roman" w:eastAsia="仿宋_GB2312"/>
          <w:kern w:val="0"/>
          <w:sz w:val="22"/>
        </w:rPr>
        <w:t xml:space="preserve">   </w:t>
      </w:r>
    </w:p>
    <w:p>
      <w:pPr>
        <w:rPr>
          <w:rFonts w:ascii="Times New Roman" w:hAnsi="Times New Roman" w:eastAsia="仿宋_GB2312"/>
          <w:kern w:val="0"/>
          <w:sz w:val="22"/>
        </w:rPr>
      </w:pPr>
      <w:r>
        <w:rPr>
          <w:rFonts w:ascii="Times New Roman" w:hAnsi="Times New Roman" w:eastAsia="仿宋_GB2312"/>
          <w:kern w:val="0"/>
          <w:sz w:val="22"/>
        </w:rPr>
        <w:t xml:space="preserve"> </w:t>
      </w:r>
    </w:p>
    <w:p>
      <w:pPr>
        <w:rPr>
          <w:rFonts w:ascii="Calibri" w:hAnsi="Calibri" w:eastAsia="仿宋_GB2312"/>
          <w:szCs w:val="21"/>
        </w:rPr>
      </w:pPr>
      <w:r>
        <w:rPr>
          <w:rFonts w:ascii="仿宋_GB2312" w:hAnsi="Times New Roman" w:eastAsia="仿宋_GB2312"/>
          <w:kern w:val="0"/>
          <w:sz w:val="22"/>
        </w:rPr>
        <w:t>单位负责人签字：</w:t>
      </w:r>
      <w:r>
        <w:rPr>
          <w:rFonts w:hint="eastAsia" w:ascii="仿宋_GB2312" w:hAnsi="Times New Roman" w:eastAsia="仿宋_GB2312"/>
          <w:kern w:val="0"/>
          <w:sz w:val="22"/>
        </w:rPr>
        <w:t>梅军</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sectPr>
          <w:pgSz w:w="11906" w:h="16838"/>
          <w:pgMar w:top="720" w:right="720" w:bottom="720" w:left="720" w:header="851" w:footer="992" w:gutter="0"/>
          <w:cols w:space="425" w:num="1"/>
          <w:docGrid w:type="linesAndChars" w:linePitch="312" w:charSpace="0"/>
        </w:sectPr>
      </w:pPr>
    </w:p>
    <w:tbl>
      <w:tblPr>
        <w:tblStyle w:val="7"/>
        <w:tblpPr w:leftFromText="180" w:rightFromText="180" w:vertAnchor="text" w:horzAnchor="page" w:tblpX="1370" w:tblpY="1251"/>
        <w:tblOverlap w:val="never"/>
        <w:tblW w:w="0" w:type="auto"/>
        <w:tblInd w:w="0" w:type="dxa"/>
        <w:tblLayout w:type="fixed"/>
        <w:tblCellMar>
          <w:top w:w="0" w:type="dxa"/>
          <w:left w:w="108" w:type="dxa"/>
          <w:bottom w:w="0" w:type="dxa"/>
          <w:right w:w="108" w:type="dxa"/>
        </w:tblCellMar>
      </w:tblPr>
      <w:tblGrid>
        <w:gridCol w:w="1951"/>
        <w:gridCol w:w="1665"/>
        <w:gridCol w:w="1770"/>
        <w:gridCol w:w="1622"/>
        <w:gridCol w:w="1212"/>
        <w:gridCol w:w="1836"/>
        <w:gridCol w:w="1238"/>
        <w:gridCol w:w="152"/>
        <w:gridCol w:w="675"/>
        <w:gridCol w:w="911"/>
        <w:gridCol w:w="18"/>
        <w:gridCol w:w="1098"/>
      </w:tblGrid>
      <w:tr>
        <w:tblPrEx>
          <w:tblCellMar>
            <w:top w:w="0" w:type="dxa"/>
            <w:left w:w="108" w:type="dxa"/>
            <w:bottom w:w="0" w:type="dxa"/>
            <w:right w:w="108" w:type="dxa"/>
          </w:tblCellMar>
        </w:tblPrEx>
        <w:trPr>
          <w:trHeight w:val="516" w:hRule="atLeast"/>
        </w:trPr>
        <w:tc>
          <w:tcPr>
            <w:tcW w:w="14148" w:type="dxa"/>
            <w:gridSpan w:val="12"/>
            <w:tcBorders>
              <w:top w:val="nil"/>
              <w:left w:val="nil"/>
              <w:bottom w:val="nil"/>
              <w:right w:val="nil"/>
            </w:tcBorders>
            <w:noWrap/>
            <w:vAlign w:val="center"/>
          </w:tcPr>
          <w:p>
            <w:pPr>
              <w:widowControl/>
              <w:jc w:val="center"/>
              <w:textAlignment w:val="center"/>
              <w:rPr>
                <w:rFonts w:ascii="Times New Roman" w:hAnsi="Times New Roman" w:eastAsia="宋体"/>
                <w:b/>
                <w:bCs/>
                <w:color w:val="000000"/>
                <w:sz w:val="40"/>
                <w:szCs w:val="40"/>
              </w:rPr>
            </w:pPr>
            <w:r>
              <w:rPr>
                <w:rFonts w:ascii="Times New Roman" w:hAnsi="Times New Roman"/>
                <w:b/>
                <w:bCs/>
                <w:color w:val="000000"/>
                <w:kern w:val="0"/>
                <w:sz w:val="40"/>
                <w:szCs w:val="40"/>
              </w:rPr>
              <w:t>2021</w:t>
            </w:r>
            <w:r>
              <w:rPr>
                <w:rFonts w:ascii="宋体" w:hAnsi="宋体"/>
                <w:b/>
                <w:bCs/>
                <w:color w:val="000000"/>
                <w:kern w:val="0"/>
                <w:sz w:val="40"/>
                <w:szCs w:val="40"/>
              </w:rPr>
              <w:t>年度部门整体支出绩效自评表</w:t>
            </w:r>
          </w:p>
        </w:tc>
      </w:tr>
      <w:tr>
        <w:tblPrEx>
          <w:tblCellMar>
            <w:top w:w="0" w:type="dxa"/>
            <w:left w:w="108" w:type="dxa"/>
            <w:bottom w:w="0" w:type="dxa"/>
            <w:right w:w="108" w:type="dxa"/>
          </w:tblCellMar>
        </w:tblPrEx>
        <w:trPr>
          <w:trHeight w:val="240" w:hRule="atLeast"/>
        </w:trPr>
        <w:tc>
          <w:tcPr>
            <w:tcW w:w="14148" w:type="dxa"/>
            <w:gridSpan w:val="12"/>
            <w:tcBorders>
              <w:top w:val="nil"/>
              <w:left w:val="nil"/>
              <w:bottom w:val="nil"/>
              <w:right w:val="nil"/>
            </w:tcBorders>
            <w:noWrap/>
            <w:vAlign w:val="center"/>
          </w:tcPr>
          <w:p>
            <w:pPr>
              <w:widowControl/>
              <w:jc w:val="center"/>
              <w:textAlignment w:val="center"/>
              <w:rPr>
                <w:rFonts w:ascii="Times New Roman" w:hAnsi="Times New Roman" w:eastAsia="宋体"/>
                <w:b/>
                <w:bCs/>
                <w:color w:val="000000"/>
                <w:sz w:val="20"/>
                <w:szCs w:val="20"/>
              </w:rPr>
            </w:pPr>
          </w:p>
        </w:tc>
      </w:tr>
      <w:tr>
        <w:tblPrEx>
          <w:tblCellMar>
            <w:top w:w="0" w:type="dxa"/>
            <w:left w:w="108" w:type="dxa"/>
            <w:bottom w:w="0" w:type="dxa"/>
            <w:right w:w="108" w:type="dxa"/>
          </w:tblCellMar>
        </w:tblPrEx>
        <w:trPr>
          <w:trHeight w:val="90" w:hRule="atLeast"/>
        </w:trPr>
        <w:tc>
          <w:tcPr>
            <w:tcW w:w="1951"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部门（单位）名称</w:t>
            </w:r>
          </w:p>
        </w:tc>
        <w:tc>
          <w:tcPr>
            <w:tcW w:w="12197" w:type="dxa"/>
            <w:gridSpan w:val="11"/>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湖南省体育科学研究所</w:t>
            </w:r>
          </w:p>
        </w:tc>
      </w:tr>
      <w:tr>
        <w:tblPrEx>
          <w:tblCellMar>
            <w:top w:w="0" w:type="dxa"/>
            <w:left w:w="108" w:type="dxa"/>
            <w:bottom w:w="0" w:type="dxa"/>
            <w:right w:w="108" w:type="dxa"/>
          </w:tblCellMar>
        </w:tblPrEx>
        <w:trPr>
          <w:trHeight w:val="318" w:hRule="atLeast"/>
        </w:trPr>
        <w:tc>
          <w:tcPr>
            <w:tcW w:w="1951" w:type="dxa"/>
            <w:tcBorders>
              <w:top w:val="single" w:color="000000" w:sz="4" w:space="0"/>
              <w:left w:val="single" w:color="000000" w:sz="4" w:space="0"/>
              <w:bottom w:val="nil"/>
              <w:right w:val="single" w:color="auto" w:sz="4" w:space="0"/>
            </w:tcBorders>
            <w:vAlign w:val="center"/>
          </w:tcPr>
          <w:p>
            <w:pPr>
              <w:rPr>
                <w:rFonts w:ascii="Times New Roman" w:hAnsi="Times New Roman" w:eastAsia="宋体"/>
                <w:b/>
                <w:bCs/>
                <w:color w:val="000000"/>
                <w:sz w:val="18"/>
                <w:szCs w:val="18"/>
              </w:rPr>
            </w:pPr>
          </w:p>
        </w:tc>
        <w:tc>
          <w:tcPr>
            <w:tcW w:w="5057"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年度资金总额</w:t>
            </w:r>
          </w:p>
        </w:tc>
        <w:tc>
          <w:tcPr>
            <w:tcW w:w="1212" w:type="dxa"/>
            <w:tcBorders>
              <w:top w:val="single" w:color="000000" w:sz="4" w:space="0"/>
              <w:left w:val="single" w:color="auto" w:sz="4" w:space="0"/>
              <w:bottom w:val="nil"/>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年初</w:t>
            </w:r>
          </w:p>
        </w:tc>
        <w:tc>
          <w:tcPr>
            <w:tcW w:w="1836" w:type="dxa"/>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全年预算数</w:t>
            </w:r>
          </w:p>
        </w:tc>
        <w:tc>
          <w:tcPr>
            <w:tcW w:w="1238" w:type="dxa"/>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全年执行数</w:t>
            </w:r>
          </w:p>
        </w:tc>
        <w:tc>
          <w:tcPr>
            <w:tcW w:w="827" w:type="dxa"/>
            <w:gridSpan w:val="2"/>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kern w:val="0"/>
                <w:sz w:val="18"/>
                <w:szCs w:val="18"/>
              </w:rPr>
            </w:pPr>
            <w:r>
              <w:rPr>
                <w:rFonts w:ascii="Times New Roman" w:hAnsi="Times New Roman"/>
                <w:color w:val="000000"/>
                <w:kern w:val="0"/>
                <w:sz w:val="18"/>
                <w:szCs w:val="18"/>
              </w:rPr>
              <w:t>分值</w:t>
            </w:r>
          </w:p>
        </w:tc>
        <w:tc>
          <w:tcPr>
            <w:tcW w:w="929" w:type="dxa"/>
            <w:gridSpan w:val="2"/>
            <w:vMerge w:val="restart"/>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执行率</w:t>
            </w:r>
          </w:p>
        </w:tc>
        <w:tc>
          <w:tcPr>
            <w:tcW w:w="1098" w:type="dxa"/>
            <w:vMerge w:val="restart"/>
            <w:tcBorders>
              <w:top w:val="single" w:color="000000" w:sz="4" w:space="0"/>
              <w:left w:val="nil"/>
              <w:bottom w:val="single" w:color="000000" w:sz="4" w:space="0"/>
              <w:right w:val="single" w:color="000000" w:sz="4" w:space="0"/>
            </w:tcBorders>
            <w:noWrap/>
            <w:vAlign w:val="center"/>
          </w:tcPr>
          <w:p>
            <w:pPr>
              <w:widowControl/>
              <w:jc w:val="center"/>
              <w:textAlignment w:val="center"/>
              <w:rPr>
                <w:rFonts w:ascii="Times New Roman" w:hAnsi="Times New Roman" w:eastAsia="宋体"/>
                <w:color w:val="000000"/>
                <w:kern w:val="0"/>
                <w:sz w:val="18"/>
                <w:szCs w:val="18"/>
              </w:rPr>
            </w:pPr>
            <w:r>
              <w:rPr>
                <w:rFonts w:ascii="Times New Roman" w:hAnsi="Times New Roman"/>
                <w:color w:val="000000"/>
                <w:kern w:val="0"/>
                <w:sz w:val="18"/>
                <w:szCs w:val="18"/>
              </w:rPr>
              <w:t>得分</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auto" w:sz="4" w:space="0"/>
            </w:tcBorders>
            <w:vAlign w:val="center"/>
          </w:tcPr>
          <w:p>
            <w:pPr>
              <w:rPr>
                <w:rFonts w:ascii="Times New Roman" w:hAnsi="Times New Roman" w:eastAsia="宋体"/>
                <w:b/>
                <w:bCs/>
                <w:color w:val="000000"/>
                <w:sz w:val="18"/>
                <w:szCs w:val="18"/>
              </w:rPr>
            </w:pPr>
          </w:p>
        </w:tc>
        <w:tc>
          <w:tcPr>
            <w:tcW w:w="50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olor w:val="000000"/>
                <w:sz w:val="18"/>
                <w:szCs w:val="18"/>
              </w:rPr>
            </w:pPr>
          </w:p>
        </w:tc>
        <w:tc>
          <w:tcPr>
            <w:tcW w:w="1212" w:type="dxa"/>
            <w:tcBorders>
              <w:top w:val="nil"/>
              <w:left w:val="single" w:color="auto" w:sz="4" w:space="0"/>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预算数</w:t>
            </w:r>
          </w:p>
        </w:tc>
        <w:tc>
          <w:tcPr>
            <w:tcW w:w="1836"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color w:val="000000"/>
                <w:sz w:val="18"/>
                <w:szCs w:val="18"/>
              </w:rPr>
            </w:pPr>
          </w:p>
        </w:tc>
        <w:tc>
          <w:tcPr>
            <w:tcW w:w="1238"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color w:val="000000"/>
                <w:sz w:val="18"/>
                <w:szCs w:val="18"/>
              </w:rPr>
            </w:pPr>
          </w:p>
        </w:tc>
        <w:tc>
          <w:tcPr>
            <w:tcW w:w="827"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color w:val="000000"/>
                <w:kern w:val="0"/>
                <w:sz w:val="18"/>
                <w:szCs w:val="18"/>
              </w:rPr>
            </w:pPr>
          </w:p>
        </w:tc>
        <w:tc>
          <w:tcPr>
            <w:tcW w:w="929"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color w:val="000000"/>
                <w:sz w:val="18"/>
                <w:szCs w:val="18"/>
              </w:rPr>
            </w:pPr>
          </w:p>
        </w:tc>
        <w:tc>
          <w:tcPr>
            <w:tcW w:w="1098"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color w:val="000000"/>
                <w:kern w:val="0"/>
                <w:sz w:val="18"/>
                <w:szCs w:val="18"/>
              </w:rPr>
            </w:pP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auto" w:sz="4" w:space="0"/>
            </w:tcBorders>
            <w:vAlign w:val="center"/>
          </w:tcPr>
          <w:p>
            <w:pPr>
              <w:rPr>
                <w:rFonts w:ascii="Times New Roman" w:hAnsi="Times New Roman" w:eastAsia="宋体"/>
                <w:b/>
                <w:bCs/>
                <w:color w:val="000000"/>
                <w:sz w:val="18"/>
                <w:szCs w:val="18"/>
              </w:rPr>
            </w:pPr>
          </w:p>
        </w:tc>
        <w:tc>
          <w:tcPr>
            <w:tcW w:w="505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olor w:val="000000"/>
                <w:sz w:val="18"/>
                <w:szCs w:val="18"/>
              </w:rPr>
            </w:pPr>
          </w:p>
        </w:tc>
        <w:tc>
          <w:tcPr>
            <w:tcW w:w="1212" w:type="dxa"/>
            <w:tcBorders>
              <w:top w:val="single" w:color="000000" w:sz="4" w:space="0"/>
              <w:left w:val="single" w:color="auto" w:sz="4" w:space="0"/>
              <w:bottom w:val="single" w:color="auto"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619.27</w:t>
            </w:r>
          </w:p>
        </w:tc>
        <w:tc>
          <w:tcPr>
            <w:tcW w:w="1836" w:type="dxa"/>
            <w:tcBorders>
              <w:top w:val="single" w:color="000000" w:sz="4" w:space="0"/>
              <w:left w:val="nil"/>
              <w:bottom w:val="single" w:color="auto"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1275.94</w:t>
            </w:r>
          </w:p>
        </w:tc>
        <w:tc>
          <w:tcPr>
            <w:tcW w:w="1238"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1172.72</w:t>
            </w:r>
          </w:p>
        </w:tc>
        <w:tc>
          <w:tcPr>
            <w:tcW w:w="827"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ascii="Times New Roman" w:hAnsi="Times New Roman"/>
                <w:color w:val="000000"/>
                <w:sz w:val="18"/>
                <w:szCs w:val="18"/>
              </w:rPr>
              <w:t>10</w:t>
            </w:r>
          </w:p>
        </w:tc>
        <w:tc>
          <w:tcPr>
            <w:tcW w:w="929"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91.91%</w:t>
            </w:r>
          </w:p>
        </w:tc>
        <w:tc>
          <w:tcPr>
            <w:tcW w:w="1098"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91.91</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auto"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年度预</w:t>
            </w:r>
          </w:p>
        </w:tc>
        <w:tc>
          <w:tcPr>
            <w:tcW w:w="8105" w:type="dxa"/>
            <w:gridSpan w:val="5"/>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按收入性质分：</w:t>
            </w:r>
          </w:p>
        </w:tc>
        <w:tc>
          <w:tcPr>
            <w:tcW w:w="4092" w:type="dxa"/>
            <w:gridSpan w:val="6"/>
            <w:tcBorders>
              <w:top w:val="single" w:color="000000" w:sz="4" w:space="0"/>
              <w:left w:val="single" w:color="auto" w:sz="4" w:space="0"/>
              <w:bottom w:val="single" w:color="000000" w:sz="4" w:space="0"/>
              <w:right w:val="single" w:color="4472C4" w:sz="8"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按支出性质分：</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算申请</w:t>
            </w:r>
          </w:p>
        </w:tc>
        <w:tc>
          <w:tcPr>
            <w:tcW w:w="8105" w:type="dxa"/>
            <w:gridSpan w:val="5"/>
            <w:tcBorders>
              <w:top w:val="single" w:color="auto"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其中：一般公共预算：</w:t>
            </w:r>
            <w:r>
              <w:rPr>
                <w:rFonts w:hint="eastAsia" w:ascii="Times New Roman" w:hAnsi="Times New Roman"/>
                <w:color w:val="000000"/>
                <w:sz w:val="18"/>
                <w:szCs w:val="18"/>
              </w:rPr>
              <w:t>740.47</w:t>
            </w:r>
          </w:p>
        </w:tc>
        <w:tc>
          <w:tcPr>
            <w:tcW w:w="4092" w:type="dxa"/>
            <w:gridSpan w:val="6"/>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其中：基本支出：</w:t>
            </w:r>
            <w:r>
              <w:rPr>
                <w:rFonts w:hint="eastAsia" w:ascii="Times New Roman" w:hAnsi="Times New Roman"/>
                <w:color w:val="000000"/>
                <w:sz w:val="18"/>
                <w:szCs w:val="18"/>
              </w:rPr>
              <w:t>537.10</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（万元）</w:t>
            </w:r>
          </w:p>
        </w:tc>
        <w:tc>
          <w:tcPr>
            <w:tcW w:w="8105" w:type="dxa"/>
            <w:gridSpan w:val="5"/>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政府性基金拨款：</w:t>
            </w:r>
            <w:r>
              <w:rPr>
                <w:rFonts w:hint="eastAsia" w:ascii="Times New Roman" w:hAnsi="Times New Roman"/>
                <w:color w:val="000000"/>
                <w:sz w:val="18"/>
                <w:szCs w:val="18"/>
              </w:rPr>
              <w:t>395.00</w:t>
            </w:r>
          </w:p>
        </w:tc>
        <w:tc>
          <w:tcPr>
            <w:tcW w:w="4092" w:type="dxa"/>
            <w:gridSpan w:val="6"/>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项目支出：</w:t>
            </w:r>
            <w:r>
              <w:rPr>
                <w:rFonts w:hint="eastAsia" w:ascii="Times New Roman" w:hAnsi="Times New Roman"/>
                <w:color w:val="000000"/>
                <w:sz w:val="18"/>
                <w:szCs w:val="18"/>
              </w:rPr>
              <w:t>635.62</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000000" w:sz="4" w:space="0"/>
            </w:tcBorders>
            <w:vAlign w:val="center"/>
          </w:tcPr>
          <w:p>
            <w:pPr>
              <w:rPr>
                <w:rFonts w:ascii="Times New Roman" w:hAnsi="Times New Roman" w:eastAsia="宋体"/>
                <w:b/>
                <w:bCs/>
                <w:color w:val="000000"/>
                <w:sz w:val="18"/>
                <w:szCs w:val="18"/>
              </w:rPr>
            </w:pPr>
          </w:p>
        </w:tc>
        <w:tc>
          <w:tcPr>
            <w:tcW w:w="8105" w:type="dxa"/>
            <w:gridSpan w:val="5"/>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纳入专户管理的非税收入拨款：</w:t>
            </w:r>
            <w:r>
              <w:rPr>
                <w:rFonts w:hint="eastAsia" w:ascii="Times New Roman" w:hAnsi="Times New Roman"/>
                <w:color w:val="000000"/>
                <w:sz w:val="18"/>
                <w:szCs w:val="18"/>
              </w:rPr>
              <w:t>0</w:t>
            </w:r>
          </w:p>
        </w:tc>
        <w:tc>
          <w:tcPr>
            <w:tcW w:w="4092" w:type="dxa"/>
            <w:gridSpan w:val="6"/>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single" w:color="auto" w:sz="4" w:space="0"/>
              <w:right w:val="single" w:color="000000" w:sz="4" w:space="0"/>
            </w:tcBorders>
            <w:vAlign w:val="center"/>
          </w:tcPr>
          <w:p>
            <w:pPr>
              <w:rPr>
                <w:rFonts w:ascii="Times New Roman" w:hAnsi="Times New Roman" w:eastAsia="宋体"/>
                <w:b/>
                <w:bCs/>
                <w:color w:val="000000"/>
                <w:sz w:val="18"/>
                <w:szCs w:val="18"/>
              </w:rPr>
            </w:pPr>
          </w:p>
        </w:tc>
        <w:tc>
          <w:tcPr>
            <w:tcW w:w="8105" w:type="dxa"/>
            <w:gridSpan w:val="5"/>
            <w:tcBorders>
              <w:top w:val="single" w:color="000000" w:sz="4" w:space="0"/>
              <w:left w:val="nil"/>
              <w:bottom w:val="single" w:color="auto"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        其他资金：</w:t>
            </w:r>
            <w:r>
              <w:rPr>
                <w:rFonts w:hint="eastAsia" w:ascii="Times New Roman" w:hAnsi="Times New Roman"/>
                <w:color w:val="000000"/>
                <w:sz w:val="18"/>
                <w:szCs w:val="18"/>
              </w:rPr>
              <w:t>0</w:t>
            </w:r>
          </w:p>
        </w:tc>
        <w:tc>
          <w:tcPr>
            <w:tcW w:w="4092" w:type="dxa"/>
            <w:gridSpan w:val="6"/>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318" w:hRule="atLeast"/>
        </w:trPr>
        <w:tc>
          <w:tcPr>
            <w:tcW w:w="1951" w:type="dxa"/>
            <w:vMerge w:val="restart"/>
            <w:tcBorders>
              <w:top w:val="nil"/>
              <w:left w:val="single" w:color="auto" w:sz="4" w:space="0"/>
              <w:bottom w:val="single" w:color="4472C4" w:sz="8"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年度总体目标</w:t>
            </w:r>
          </w:p>
        </w:tc>
        <w:tc>
          <w:tcPr>
            <w:tcW w:w="8105" w:type="dxa"/>
            <w:gridSpan w:val="5"/>
            <w:tcBorders>
              <w:top w:val="single" w:color="auto" w:sz="4" w:space="0"/>
              <w:left w:val="nil"/>
              <w:bottom w:val="single" w:color="000000" w:sz="4" w:space="0"/>
              <w:right w:val="single" w:color="auto"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预期目标</w:t>
            </w:r>
          </w:p>
        </w:tc>
        <w:tc>
          <w:tcPr>
            <w:tcW w:w="4092" w:type="dxa"/>
            <w:gridSpan w:val="6"/>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 xml:space="preserve">实际完成情况 </w:t>
            </w:r>
          </w:p>
        </w:tc>
      </w:tr>
      <w:tr>
        <w:tblPrEx>
          <w:tblCellMar>
            <w:top w:w="0" w:type="dxa"/>
            <w:left w:w="108" w:type="dxa"/>
            <w:bottom w:w="0" w:type="dxa"/>
            <w:right w:w="108" w:type="dxa"/>
          </w:tblCellMar>
        </w:tblPrEx>
        <w:trPr>
          <w:trHeight w:val="90" w:hRule="atLeast"/>
        </w:trPr>
        <w:tc>
          <w:tcPr>
            <w:tcW w:w="1951" w:type="dxa"/>
            <w:vMerge w:val="continue"/>
            <w:tcBorders>
              <w:top w:val="nil"/>
              <w:left w:val="single" w:color="auto" w:sz="4" w:space="0"/>
              <w:bottom w:val="single" w:color="4472C4" w:sz="8"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8105" w:type="dxa"/>
            <w:gridSpan w:val="5"/>
            <w:tcBorders>
              <w:top w:val="nil"/>
              <w:left w:val="nil"/>
              <w:bottom w:val="single" w:color="auto" w:sz="4" w:space="0"/>
              <w:right w:val="single" w:color="auto" w:sz="4" w:space="0"/>
            </w:tcBorders>
          </w:tcPr>
          <w:p>
            <w:pPr>
              <w:ind w:firstLine="360" w:firstLineChars="200"/>
              <w:rPr>
                <w:rFonts w:ascii="Times New Roman" w:hAnsi="Times New Roman"/>
                <w:color w:val="000000"/>
                <w:sz w:val="18"/>
                <w:szCs w:val="18"/>
              </w:rPr>
            </w:pPr>
            <w:r>
              <w:rPr>
                <w:rFonts w:ascii="Times New Roman" w:hAnsi="Times New Roman"/>
                <w:color w:val="000000"/>
                <w:sz w:val="18"/>
                <w:szCs w:val="18"/>
              </w:rPr>
              <w:t>省体科所坚持贯彻党的方针政策，大力实施“</w:t>
            </w:r>
            <w:r>
              <w:rPr>
                <w:rFonts w:ascii="宋体" w:hAnsi="宋体"/>
                <w:color w:val="000000"/>
                <w:sz w:val="18"/>
                <w:szCs w:val="18"/>
              </w:rPr>
              <w:t>三高四新</w:t>
            </w:r>
            <w:r>
              <w:rPr>
                <w:rFonts w:ascii="Times New Roman" w:hAnsi="Times New Roman"/>
                <w:color w:val="000000"/>
                <w:sz w:val="18"/>
                <w:szCs w:val="18"/>
              </w:rPr>
              <w:t>”</w:t>
            </w:r>
            <w:r>
              <w:rPr>
                <w:rFonts w:ascii="宋体" w:hAnsi="宋体"/>
                <w:color w:val="000000"/>
                <w:sz w:val="18"/>
                <w:szCs w:val="18"/>
              </w:rPr>
              <w:t>战略</w:t>
            </w:r>
            <w:r>
              <w:rPr>
                <w:rFonts w:ascii="Times New Roman" w:hAnsi="Times New Roman"/>
                <w:color w:val="000000"/>
                <w:sz w:val="18"/>
                <w:szCs w:val="18"/>
              </w:rPr>
              <w:t>,</w:t>
            </w:r>
            <w:r>
              <w:rPr>
                <w:rFonts w:ascii="宋体" w:hAnsi="宋体"/>
                <w:color w:val="000000"/>
                <w:sz w:val="18"/>
                <w:szCs w:val="18"/>
              </w:rPr>
              <w:t>在奋力建设现代化新湖南的征程中贡献体育科研的力量。在群众体育科研方面，以群众健身需求为导向，宣传和推广科学健身的理念与知识，引导群众积极参加全民健身。在竞技体育科研方面，保障奥运会和全运会夺金任务，做好科技攻关和科技助力各项工作，全面提升科技服务的高度。</w:t>
            </w:r>
          </w:p>
          <w:p>
            <w:pPr>
              <w:ind w:firstLine="360" w:firstLineChars="200"/>
              <w:rPr>
                <w:rFonts w:ascii="Times New Roman" w:hAnsi="Times New Roman"/>
                <w:color w:val="000000"/>
                <w:sz w:val="18"/>
                <w:szCs w:val="18"/>
              </w:rPr>
            </w:pPr>
            <w:r>
              <w:rPr>
                <w:rFonts w:ascii="Times New Roman" w:hAnsi="Times New Roman"/>
                <w:color w:val="000000"/>
                <w:sz w:val="18"/>
                <w:szCs w:val="18"/>
              </w:rPr>
              <w:t>时效指标：财政预算资金执行率90%</w:t>
            </w:r>
            <w:r>
              <w:rPr>
                <w:rFonts w:ascii="宋体" w:hAnsi="宋体"/>
                <w:color w:val="000000"/>
                <w:sz w:val="18"/>
                <w:szCs w:val="18"/>
              </w:rPr>
              <w:t>以上。数量指标：开展</w:t>
            </w:r>
            <w:r>
              <w:rPr>
                <w:rFonts w:ascii="Times New Roman" w:hAnsi="Times New Roman"/>
                <w:color w:val="000000"/>
                <w:sz w:val="18"/>
                <w:szCs w:val="18"/>
              </w:rPr>
              <w:t>“</w:t>
            </w:r>
            <w:r>
              <w:rPr>
                <w:rFonts w:ascii="宋体" w:hAnsi="宋体"/>
                <w:color w:val="000000"/>
                <w:sz w:val="18"/>
                <w:szCs w:val="18"/>
              </w:rPr>
              <w:t>三扶</w:t>
            </w:r>
            <w:r>
              <w:rPr>
                <w:rFonts w:ascii="Times New Roman" w:hAnsi="Times New Roman"/>
                <w:color w:val="000000"/>
                <w:sz w:val="18"/>
                <w:szCs w:val="18"/>
              </w:rPr>
              <w:t>”</w:t>
            </w:r>
            <w:r>
              <w:rPr>
                <w:rFonts w:ascii="宋体" w:hAnsi="宋体"/>
                <w:color w:val="000000"/>
                <w:sz w:val="18"/>
                <w:szCs w:val="18"/>
              </w:rPr>
              <w:t>活动，开展</w:t>
            </w:r>
            <w:r>
              <w:rPr>
                <w:rFonts w:ascii="Times New Roman" w:hAnsi="Times New Roman"/>
                <w:color w:val="000000"/>
                <w:sz w:val="18"/>
                <w:szCs w:val="18"/>
              </w:rPr>
              <w:t>“</w:t>
            </w:r>
            <w:r>
              <w:rPr>
                <w:rFonts w:ascii="宋体" w:hAnsi="宋体"/>
                <w:color w:val="000000"/>
                <w:sz w:val="18"/>
                <w:szCs w:val="18"/>
              </w:rPr>
              <w:t>运动促进体质健康</w:t>
            </w:r>
            <w:r>
              <w:rPr>
                <w:rFonts w:ascii="Times New Roman" w:hAnsi="Times New Roman"/>
                <w:color w:val="000000"/>
                <w:sz w:val="18"/>
                <w:szCs w:val="18"/>
              </w:rPr>
              <w:t>”</w:t>
            </w:r>
            <w:r>
              <w:rPr>
                <w:rFonts w:ascii="宋体" w:hAnsi="宋体"/>
                <w:color w:val="000000"/>
                <w:sz w:val="18"/>
                <w:szCs w:val="18"/>
              </w:rPr>
              <w:t>项目。质量指标：确保重点夺金项目攻关成效；将体育科研攻关成果转化，并发表高质量期刊论文；持续不断抓好全省反兴奋剂工作；完成第五次国民体质监测和全民健身调查工作。成本指标：严格按照年初部门预算执行。</w:t>
            </w:r>
          </w:p>
          <w:p>
            <w:pPr>
              <w:ind w:firstLine="360" w:firstLineChars="200"/>
              <w:rPr>
                <w:rFonts w:ascii="Times New Roman" w:hAnsi="Times New Roman" w:eastAsia="宋体"/>
                <w:color w:val="000000"/>
                <w:sz w:val="18"/>
                <w:szCs w:val="18"/>
              </w:rPr>
            </w:pPr>
            <w:r>
              <w:rPr>
                <w:rFonts w:ascii="Times New Roman" w:hAnsi="Times New Roman"/>
                <w:color w:val="000000"/>
                <w:sz w:val="18"/>
                <w:szCs w:val="18"/>
              </w:rPr>
              <w:t>生态效益指标：积极践行节能环保的理念，厉行节约,</w:t>
            </w:r>
            <w:r>
              <w:rPr>
                <w:rFonts w:ascii="宋体" w:hAnsi="宋体"/>
                <w:color w:val="000000"/>
                <w:sz w:val="18"/>
                <w:szCs w:val="18"/>
              </w:rPr>
              <w:t>拒绝铺张浪费。社会公益或服务对象满意度指标：通过考核或问卷调查等方式，反馈服务主体对服务工作的满意度在</w:t>
            </w:r>
            <w:r>
              <w:rPr>
                <w:rFonts w:ascii="Times New Roman" w:hAnsi="Times New Roman"/>
                <w:color w:val="000000"/>
                <w:sz w:val="18"/>
                <w:szCs w:val="18"/>
              </w:rPr>
              <w:t>90%</w:t>
            </w:r>
            <w:r>
              <w:rPr>
                <w:rFonts w:ascii="宋体" w:hAnsi="宋体"/>
                <w:color w:val="000000"/>
                <w:sz w:val="18"/>
                <w:szCs w:val="18"/>
              </w:rPr>
              <w:t>以上。可持续影响指标：逐步推进</w:t>
            </w:r>
            <w:r>
              <w:rPr>
                <w:rFonts w:ascii="Times New Roman" w:hAnsi="Times New Roman"/>
                <w:color w:val="000000"/>
                <w:sz w:val="18"/>
                <w:szCs w:val="18"/>
              </w:rPr>
              <w:t>“</w:t>
            </w:r>
            <w:r>
              <w:rPr>
                <w:rFonts w:ascii="宋体" w:hAnsi="宋体"/>
                <w:color w:val="000000"/>
                <w:sz w:val="18"/>
                <w:szCs w:val="18"/>
              </w:rPr>
              <w:t>十四五</w:t>
            </w:r>
            <w:r>
              <w:rPr>
                <w:rFonts w:ascii="Times New Roman" w:hAnsi="Times New Roman"/>
                <w:color w:val="000000"/>
                <w:sz w:val="18"/>
                <w:szCs w:val="18"/>
              </w:rPr>
              <w:t>”</w:t>
            </w:r>
            <w:r>
              <w:rPr>
                <w:rFonts w:ascii="宋体" w:hAnsi="宋体"/>
                <w:color w:val="000000"/>
                <w:sz w:val="18"/>
                <w:szCs w:val="18"/>
              </w:rPr>
              <w:t>规划的体育强国、健康中国的目标。社会效益指标：备战东京奥运会和第十四届西安全运会；坚决反对使用兴奋剂，维护体育公平竞争，维护国家形象和荣誉；开展国民体质工作，引导群众积极参加全民健身。经济效益指标：广泛开展全民健身运动，增强人民体质，促进体育产业发展。</w:t>
            </w:r>
          </w:p>
        </w:tc>
        <w:tc>
          <w:tcPr>
            <w:tcW w:w="4092" w:type="dxa"/>
            <w:gridSpan w:val="6"/>
            <w:tcBorders>
              <w:top w:val="single" w:color="000000" w:sz="4" w:space="0"/>
              <w:left w:val="nil"/>
              <w:bottom w:val="single" w:color="000000" w:sz="4" w:space="0"/>
              <w:right w:val="single" w:color="4472C4" w:sz="8" w:space="0"/>
            </w:tcBorders>
          </w:tcPr>
          <w:p>
            <w:pPr>
              <w:ind w:firstLine="360" w:firstLineChars="200"/>
              <w:jc w:val="left"/>
              <w:rPr>
                <w:rFonts w:ascii="Times New Roman" w:hAnsi="Times New Roman"/>
                <w:color w:val="000000"/>
                <w:sz w:val="18"/>
                <w:szCs w:val="18"/>
              </w:rPr>
            </w:pPr>
            <w:r>
              <w:rPr>
                <w:rFonts w:ascii="Times New Roman" w:hAnsi="Times New Roman"/>
                <w:color w:val="000000"/>
                <w:sz w:val="18"/>
                <w:szCs w:val="18"/>
              </w:rPr>
              <w:t>在竞技体育科研方面，</w:t>
            </w:r>
            <w:r>
              <w:rPr>
                <w:rFonts w:hint="eastAsia" w:ascii="Times New Roman" w:hAnsi="Times New Roman"/>
                <w:color w:val="000000"/>
                <w:sz w:val="18"/>
                <w:szCs w:val="18"/>
              </w:rPr>
              <w:t>顺利完成了</w:t>
            </w:r>
            <w:r>
              <w:rPr>
                <w:rFonts w:ascii="Times New Roman" w:hAnsi="Times New Roman"/>
                <w:color w:val="000000"/>
                <w:sz w:val="18"/>
                <w:szCs w:val="18"/>
              </w:rPr>
              <w:t>奥运会和全运会夺金</w:t>
            </w:r>
            <w:r>
              <w:rPr>
                <w:rFonts w:hint="eastAsia" w:ascii="Times New Roman" w:hAnsi="Times New Roman"/>
                <w:color w:val="000000"/>
                <w:sz w:val="18"/>
                <w:szCs w:val="18"/>
              </w:rPr>
              <w:t>的科技保障</w:t>
            </w:r>
            <w:r>
              <w:rPr>
                <w:rFonts w:ascii="Times New Roman" w:hAnsi="Times New Roman"/>
                <w:color w:val="000000"/>
                <w:sz w:val="18"/>
                <w:szCs w:val="18"/>
              </w:rPr>
              <w:t>任务，做好</w:t>
            </w:r>
            <w:r>
              <w:rPr>
                <w:rFonts w:hint="eastAsia" w:ascii="Times New Roman" w:hAnsi="Times New Roman"/>
                <w:color w:val="000000"/>
                <w:sz w:val="18"/>
                <w:szCs w:val="18"/>
              </w:rPr>
              <w:t>了</w:t>
            </w:r>
            <w:r>
              <w:rPr>
                <w:rFonts w:ascii="Times New Roman" w:hAnsi="Times New Roman"/>
                <w:color w:val="000000"/>
                <w:sz w:val="18"/>
                <w:szCs w:val="18"/>
              </w:rPr>
              <w:t>科技攻关和科技助力各项工作，科技服务</w:t>
            </w:r>
            <w:r>
              <w:rPr>
                <w:rFonts w:hint="eastAsia" w:ascii="Times New Roman" w:hAnsi="Times New Roman"/>
                <w:color w:val="000000"/>
                <w:sz w:val="18"/>
                <w:szCs w:val="18"/>
              </w:rPr>
              <w:t>得到全面提高</w:t>
            </w:r>
            <w:r>
              <w:rPr>
                <w:rFonts w:ascii="Times New Roman" w:hAnsi="Times New Roman"/>
                <w:color w:val="000000"/>
                <w:sz w:val="18"/>
                <w:szCs w:val="18"/>
              </w:rPr>
              <w:t>。</w:t>
            </w:r>
            <w:r>
              <w:rPr>
                <w:rFonts w:hint="eastAsia" w:ascii="Times New Roman" w:hAnsi="Times New Roman"/>
                <w:color w:val="000000"/>
                <w:sz w:val="18"/>
                <w:szCs w:val="18"/>
              </w:rPr>
              <w:t>科技助力</w:t>
            </w:r>
            <w:r>
              <w:rPr>
                <w:rFonts w:ascii="Times New Roman" w:hAnsi="Times New Roman"/>
                <w:color w:val="000000"/>
                <w:sz w:val="18"/>
                <w:szCs w:val="18"/>
              </w:rPr>
              <w:t>确保</w:t>
            </w:r>
            <w:r>
              <w:rPr>
                <w:rFonts w:hint="eastAsia" w:ascii="Times New Roman" w:hAnsi="Times New Roman"/>
                <w:color w:val="000000"/>
                <w:sz w:val="18"/>
                <w:szCs w:val="18"/>
              </w:rPr>
              <w:t>了</w:t>
            </w:r>
            <w:r>
              <w:rPr>
                <w:rFonts w:ascii="Times New Roman" w:hAnsi="Times New Roman"/>
                <w:color w:val="000000"/>
                <w:sz w:val="18"/>
                <w:szCs w:val="18"/>
              </w:rPr>
              <w:t>重点夺金项目</w:t>
            </w:r>
            <w:r>
              <w:rPr>
                <w:rFonts w:hint="eastAsia" w:ascii="Times New Roman" w:hAnsi="Times New Roman"/>
                <w:color w:val="000000"/>
                <w:sz w:val="18"/>
                <w:szCs w:val="18"/>
              </w:rPr>
              <w:t>夺金任务是顺利完成，使全运会获得金牌的运动项目管理中心数目翻倍增长；</w:t>
            </w:r>
            <w:r>
              <w:rPr>
                <w:rFonts w:ascii="Times New Roman" w:hAnsi="Times New Roman"/>
                <w:color w:val="000000"/>
                <w:sz w:val="18"/>
                <w:szCs w:val="18"/>
              </w:rPr>
              <w:t>发表</w:t>
            </w:r>
            <w:r>
              <w:rPr>
                <w:rFonts w:hint="eastAsia" w:ascii="Times New Roman" w:hAnsi="Times New Roman"/>
                <w:color w:val="000000"/>
                <w:sz w:val="18"/>
                <w:szCs w:val="18"/>
              </w:rPr>
              <w:t>SCI</w:t>
            </w:r>
            <w:r>
              <w:rPr>
                <w:rFonts w:ascii="Times New Roman" w:hAnsi="Times New Roman"/>
                <w:color w:val="000000"/>
                <w:sz w:val="18"/>
                <w:szCs w:val="18"/>
              </w:rPr>
              <w:t>期刊论文</w:t>
            </w:r>
            <w:r>
              <w:rPr>
                <w:rFonts w:hint="eastAsia" w:ascii="Times New Roman" w:hAnsi="Times New Roman"/>
                <w:color w:val="000000"/>
                <w:sz w:val="18"/>
                <w:szCs w:val="18"/>
              </w:rPr>
              <w:t>3</w:t>
            </w:r>
            <w:r>
              <w:rPr>
                <w:rFonts w:hint="eastAsia" w:ascii="宋体" w:hAnsi="宋体"/>
                <w:color w:val="000000"/>
                <w:sz w:val="18"/>
                <w:szCs w:val="18"/>
              </w:rPr>
              <w:t>篇</w:t>
            </w:r>
            <w:r>
              <w:rPr>
                <w:rFonts w:hint="eastAsia" w:ascii="Times New Roman" w:hAnsi="Times New Roman"/>
                <w:color w:val="000000"/>
                <w:sz w:val="18"/>
                <w:szCs w:val="18"/>
              </w:rPr>
              <w:t>。</w:t>
            </w:r>
          </w:p>
          <w:p>
            <w:pPr>
              <w:ind w:firstLine="360" w:firstLineChars="200"/>
              <w:jc w:val="left"/>
              <w:rPr>
                <w:rFonts w:hint="eastAsia" w:ascii="Times New Roman" w:hAnsi="Times New Roman"/>
                <w:color w:val="000000"/>
                <w:sz w:val="18"/>
                <w:szCs w:val="18"/>
              </w:rPr>
            </w:pPr>
            <w:r>
              <w:rPr>
                <w:rFonts w:ascii="Times New Roman" w:hAnsi="Times New Roman"/>
                <w:color w:val="000000"/>
                <w:sz w:val="18"/>
                <w:szCs w:val="18"/>
              </w:rPr>
              <w:t>持续不断抓好全省反兴奋剂工作</w:t>
            </w:r>
            <w:r>
              <w:rPr>
                <w:rFonts w:hint="eastAsia" w:ascii="Times New Roman" w:hAnsi="Times New Roman"/>
                <w:color w:val="000000"/>
                <w:sz w:val="18"/>
                <w:szCs w:val="18"/>
              </w:rPr>
              <w:t>，全年开展反兴奋剂教育培训、讲座30</w:t>
            </w:r>
            <w:r>
              <w:rPr>
                <w:rFonts w:hint="eastAsia" w:ascii="宋体" w:hAnsi="宋体"/>
                <w:color w:val="000000"/>
                <w:sz w:val="18"/>
                <w:szCs w:val="18"/>
              </w:rPr>
              <w:t>次，制作和发放反兴奋剂宣传教育展板、海报</w:t>
            </w:r>
            <w:r>
              <w:rPr>
                <w:rFonts w:hint="eastAsia" w:ascii="Times New Roman" w:hAnsi="Times New Roman"/>
                <w:color w:val="000000"/>
                <w:sz w:val="18"/>
                <w:szCs w:val="18"/>
              </w:rPr>
              <w:t>15</w:t>
            </w:r>
            <w:r>
              <w:rPr>
                <w:rFonts w:hint="eastAsia" w:ascii="宋体" w:hAnsi="宋体"/>
                <w:color w:val="000000"/>
                <w:sz w:val="18"/>
                <w:szCs w:val="18"/>
              </w:rPr>
              <w:t>套，知识手册和准入手册等</w:t>
            </w:r>
            <w:r>
              <w:rPr>
                <w:rFonts w:hint="eastAsia" w:ascii="Times New Roman" w:hAnsi="Times New Roman"/>
                <w:color w:val="000000"/>
                <w:sz w:val="18"/>
                <w:szCs w:val="18"/>
              </w:rPr>
              <w:t>1400</w:t>
            </w:r>
            <w:r>
              <w:rPr>
                <w:rFonts w:hint="eastAsia" w:ascii="宋体" w:hAnsi="宋体"/>
                <w:color w:val="000000"/>
                <w:sz w:val="18"/>
                <w:szCs w:val="18"/>
              </w:rPr>
              <w:t>册，委托兴奋剂检查</w:t>
            </w:r>
            <w:r>
              <w:rPr>
                <w:rFonts w:hint="eastAsia" w:ascii="Times New Roman" w:hAnsi="Times New Roman"/>
                <w:color w:val="000000"/>
                <w:sz w:val="18"/>
                <w:szCs w:val="18"/>
              </w:rPr>
              <w:t>51</w:t>
            </w:r>
            <w:r>
              <w:rPr>
                <w:rFonts w:hint="eastAsia" w:ascii="宋体" w:hAnsi="宋体"/>
                <w:color w:val="000000"/>
                <w:sz w:val="18"/>
                <w:szCs w:val="18"/>
              </w:rPr>
              <w:t>例，肉食品检测</w:t>
            </w:r>
            <w:r>
              <w:rPr>
                <w:rFonts w:hint="eastAsia" w:ascii="Times New Roman" w:hAnsi="Times New Roman"/>
                <w:color w:val="000000"/>
                <w:sz w:val="18"/>
                <w:szCs w:val="18"/>
              </w:rPr>
              <w:t>14</w:t>
            </w:r>
            <w:r>
              <w:rPr>
                <w:rFonts w:hint="eastAsia" w:ascii="宋体" w:hAnsi="宋体"/>
                <w:color w:val="000000"/>
                <w:sz w:val="18"/>
                <w:szCs w:val="18"/>
              </w:rPr>
              <w:t>例，未出现运动员违反行踪信息申报管理规定，未出现专业队运动员兴奋剂违规问题。</w:t>
            </w:r>
          </w:p>
          <w:p>
            <w:pPr>
              <w:ind w:firstLine="360" w:firstLineChars="200"/>
              <w:jc w:val="left"/>
              <w:rPr>
                <w:rFonts w:hint="eastAsia" w:ascii="宋体" w:hAnsi="宋体"/>
                <w:color w:val="000000"/>
                <w:sz w:val="18"/>
                <w:szCs w:val="18"/>
              </w:rPr>
            </w:pPr>
            <w:r>
              <w:rPr>
                <w:rFonts w:ascii="Times New Roman" w:hAnsi="Times New Roman"/>
                <w:color w:val="000000"/>
                <w:sz w:val="18"/>
                <w:szCs w:val="18"/>
              </w:rPr>
              <w:t>东京奥运会</w:t>
            </w:r>
            <w:r>
              <w:rPr>
                <w:rFonts w:hint="eastAsia"/>
                <w:color w:val="000000"/>
                <w:sz w:val="18"/>
                <w:szCs w:val="18"/>
                <w:shd w:val="clear" w:color="auto" w:fill="FFFFFF"/>
              </w:rPr>
              <w:t>湖南健儿勇夺２金５银３铜，创下了北京奥运会以来最佳战绩，征战陕西</w:t>
            </w:r>
            <w:r>
              <w:rPr>
                <w:rFonts w:ascii="Times New Roman" w:hAnsi="Times New Roman"/>
                <w:color w:val="000000"/>
                <w:sz w:val="18"/>
                <w:szCs w:val="18"/>
              </w:rPr>
              <w:t>第十四届全运会</w:t>
            </w:r>
            <w:r>
              <w:rPr>
                <w:rFonts w:hint="eastAsia"/>
                <w:color w:val="000000"/>
                <w:sz w:val="18"/>
                <w:szCs w:val="18"/>
                <w:shd w:val="clear" w:color="auto" w:fill="FFFFFF"/>
              </w:rPr>
              <w:t>，获得了</w:t>
            </w:r>
            <w:r>
              <w:rPr>
                <w:rFonts w:hint="eastAsia" w:cs="Calibri"/>
                <w:color w:val="000000"/>
                <w:sz w:val="18"/>
                <w:szCs w:val="18"/>
                <w:shd w:val="clear" w:color="auto" w:fill="FFFFFF"/>
              </w:rPr>
              <w:t>25</w:t>
            </w:r>
            <w:r>
              <w:rPr>
                <w:rFonts w:hint="eastAsia" w:ascii="宋体" w:hAnsi="宋体"/>
                <w:color w:val="000000"/>
                <w:sz w:val="18"/>
                <w:szCs w:val="18"/>
                <w:shd w:val="clear" w:color="auto" w:fill="FFFFFF"/>
              </w:rPr>
              <w:t>金</w:t>
            </w:r>
            <w:r>
              <w:rPr>
                <w:rFonts w:hint="eastAsia" w:cs="Calibri"/>
                <w:color w:val="000000"/>
                <w:sz w:val="18"/>
                <w:szCs w:val="18"/>
                <w:shd w:val="clear" w:color="auto" w:fill="FFFFFF"/>
              </w:rPr>
              <w:t>13</w:t>
            </w:r>
            <w:r>
              <w:rPr>
                <w:rFonts w:hint="eastAsia" w:ascii="宋体" w:hAnsi="宋体"/>
                <w:color w:val="000000"/>
                <w:sz w:val="18"/>
                <w:szCs w:val="18"/>
                <w:shd w:val="clear" w:color="auto" w:fill="FFFFFF"/>
              </w:rPr>
              <w:t>银</w:t>
            </w:r>
            <w:r>
              <w:rPr>
                <w:rFonts w:hint="eastAsia" w:cs="Calibri"/>
                <w:color w:val="000000"/>
                <w:sz w:val="18"/>
                <w:szCs w:val="18"/>
                <w:shd w:val="clear" w:color="auto" w:fill="FFFFFF"/>
              </w:rPr>
              <w:t>9</w:t>
            </w:r>
            <w:r>
              <w:rPr>
                <w:rFonts w:hint="eastAsia" w:ascii="宋体" w:hAnsi="宋体"/>
                <w:color w:val="000000"/>
                <w:sz w:val="18"/>
                <w:szCs w:val="18"/>
                <w:shd w:val="clear" w:color="auto" w:fill="FFFFFF"/>
              </w:rPr>
              <w:t>铜，创我省参加全运会以来历史最好成绩，为国为省争光</w:t>
            </w:r>
            <w:r>
              <w:rPr>
                <w:rFonts w:ascii="Times New Roman" w:hAnsi="Times New Roman"/>
                <w:color w:val="000000"/>
                <w:sz w:val="18"/>
                <w:szCs w:val="18"/>
              </w:rPr>
              <w:t>；坚决反对使用兴奋剂，维护体育公平竞争，维护国家形象和荣誉</w:t>
            </w:r>
            <w:r>
              <w:rPr>
                <w:rFonts w:hint="eastAsia" w:ascii="Times New Roman" w:hAnsi="Times New Roman"/>
                <w:color w:val="000000"/>
                <w:sz w:val="18"/>
                <w:szCs w:val="18"/>
              </w:rPr>
              <w:t>，实现了兴奋剂问题“零出现”的目标。</w:t>
            </w:r>
          </w:p>
          <w:p>
            <w:pPr>
              <w:ind w:firstLine="360" w:firstLineChars="200"/>
              <w:jc w:val="left"/>
              <w:rPr>
                <w:rFonts w:hint="eastAsia" w:ascii="宋体" w:hAnsi="宋体"/>
                <w:color w:val="000000"/>
                <w:sz w:val="18"/>
                <w:szCs w:val="18"/>
              </w:rPr>
            </w:pPr>
            <w:r>
              <w:rPr>
                <w:rFonts w:hint="eastAsia" w:ascii="宋体" w:hAnsi="宋体"/>
                <w:color w:val="000000"/>
                <w:sz w:val="18"/>
                <w:szCs w:val="18"/>
              </w:rPr>
              <w:t>完成三扶活动3次，开展公益科普讲座13场，完成国民体质公报撰写，出版科普图书1部，“运动促进体质健康”公益检测10场，成年人体质和儿童姿态共筛查2500人次，干预300多人次，撰写科研论文1篇。</w:t>
            </w:r>
          </w:p>
          <w:p>
            <w:pPr>
              <w:ind w:firstLine="360" w:firstLineChars="200"/>
              <w:jc w:val="left"/>
              <w:rPr>
                <w:rFonts w:ascii="宋体" w:hAnsi="宋体" w:eastAsia="宋体"/>
                <w:color w:val="0070C0"/>
                <w:sz w:val="18"/>
                <w:szCs w:val="18"/>
              </w:rPr>
            </w:pPr>
          </w:p>
        </w:tc>
      </w:tr>
      <w:tr>
        <w:tblPrEx>
          <w:tblCellMar>
            <w:top w:w="0" w:type="dxa"/>
            <w:left w:w="108" w:type="dxa"/>
            <w:bottom w:w="0" w:type="dxa"/>
            <w:right w:w="108" w:type="dxa"/>
          </w:tblCellMar>
        </w:tblPrEx>
        <w:trPr>
          <w:trHeight w:val="288" w:hRule="atLeast"/>
        </w:trPr>
        <w:tc>
          <w:tcPr>
            <w:tcW w:w="1951" w:type="dxa"/>
            <w:tcBorders>
              <w:top w:val="single" w:color="auto" w:sz="4" w:space="0"/>
              <w:left w:val="single" w:color="000000" w:sz="4" w:space="0"/>
              <w:bottom w:val="nil"/>
              <w:right w:val="single" w:color="000000" w:sz="4" w:space="0"/>
            </w:tcBorders>
            <w:vAlign w:val="center"/>
          </w:tcPr>
          <w:p>
            <w:pPr>
              <w:rPr>
                <w:rFonts w:ascii="Times New Roman" w:hAnsi="Times New Roman" w:eastAsia="宋体"/>
                <w:color w:val="000000"/>
                <w:sz w:val="18"/>
                <w:szCs w:val="18"/>
              </w:rPr>
            </w:pPr>
          </w:p>
        </w:tc>
        <w:tc>
          <w:tcPr>
            <w:tcW w:w="1665"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一级指标</w:t>
            </w:r>
          </w:p>
        </w:tc>
        <w:tc>
          <w:tcPr>
            <w:tcW w:w="1770"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二级指标</w:t>
            </w:r>
          </w:p>
        </w:tc>
        <w:tc>
          <w:tcPr>
            <w:tcW w:w="2834" w:type="dxa"/>
            <w:gridSpan w:val="2"/>
            <w:vMerge w:val="restart"/>
            <w:tcBorders>
              <w:top w:val="single" w:color="auto"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三级指标</w:t>
            </w:r>
          </w:p>
        </w:tc>
        <w:tc>
          <w:tcPr>
            <w:tcW w:w="1836" w:type="dxa"/>
            <w:vMerge w:val="restart"/>
            <w:tcBorders>
              <w:top w:val="single" w:color="auto"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年度指标值</w:t>
            </w:r>
          </w:p>
        </w:tc>
        <w:tc>
          <w:tcPr>
            <w:tcW w:w="1390" w:type="dxa"/>
            <w:gridSpan w:val="2"/>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实际完成值</w:t>
            </w:r>
          </w:p>
        </w:tc>
        <w:tc>
          <w:tcPr>
            <w:tcW w:w="675" w:type="dxa"/>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分值</w:t>
            </w:r>
          </w:p>
        </w:tc>
        <w:tc>
          <w:tcPr>
            <w:tcW w:w="911" w:type="dxa"/>
            <w:vMerge w:val="restart"/>
            <w:tcBorders>
              <w:top w:val="single" w:color="000000" w:sz="4" w:space="0"/>
              <w:left w:val="nil"/>
              <w:bottom w:val="single" w:color="000000" w:sz="4" w:space="0"/>
              <w:right w:val="nil"/>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得分</w:t>
            </w:r>
          </w:p>
        </w:tc>
        <w:tc>
          <w:tcPr>
            <w:tcW w:w="1116" w:type="dxa"/>
            <w:gridSpan w:val="2"/>
            <w:tcBorders>
              <w:top w:val="single" w:color="000000" w:sz="4" w:space="0"/>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偏差原因</w:t>
            </w:r>
          </w:p>
        </w:tc>
      </w:tr>
      <w:tr>
        <w:tblPrEx>
          <w:tblCellMar>
            <w:top w:w="0" w:type="dxa"/>
            <w:left w:w="108" w:type="dxa"/>
            <w:bottom w:w="0" w:type="dxa"/>
            <w:right w:w="108" w:type="dxa"/>
          </w:tblCellMar>
        </w:tblPrEx>
        <w:trPr>
          <w:trHeight w:val="318" w:hRule="atLeast"/>
        </w:trPr>
        <w:tc>
          <w:tcPr>
            <w:tcW w:w="1951" w:type="dxa"/>
            <w:tcBorders>
              <w:top w:val="nil"/>
              <w:left w:val="single" w:color="000000" w:sz="4" w:space="0"/>
              <w:bottom w:val="nil"/>
              <w:right w:val="single" w:color="000000" w:sz="4" w:space="0"/>
            </w:tcBorders>
            <w:vAlign w:val="center"/>
          </w:tcPr>
          <w:p>
            <w:pPr>
              <w:rPr>
                <w:rFonts w:ascii="Times New Roman" w:hAnsi="Times New Roman" w:eastAsia="宋体"/>
                <w:color w:val="000000"/>
                <w:sz w:val="18"/>
                <w:szCs w:val="18"/>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vMerge w:val="continue"/>
            <w:tcBorders>
              <w:top w:val="single" w:color="auto"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836" w:type="dxa"/>
            <w:vMerge w:val="continue"/>
            <w:tcBorders>
              <w:top w:val="single" w:color="auto"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390"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675"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911" w:type="dxa"/>
            <w:vMerge w:val="continue"/>
            <w:tcBorders>
              <w:top w:val="single" w:color="000000" w:sz="4" w:space="0"/>
              <w:left w:val="nil"/>
              <w:bottom w:val="single" w:color="000000" w:sz="4" w:space="0"/>
              <w:right w:val="nil"/>
            </w:tcBorders>
            <w:vAlign w:val="center"/>
          </w:tcPr>
          <w:p>
            <w:pPr>
              <w:widowControl/>
              <w:jc w:val="left"/>
              <w:rPr>
                <w:rFonts w:ascii="Times New Roman" w:hAnsi="Times New Roman" w:eastAsia="宋体"/>
                <w:b/>
                <w:bCs/>
                <w:color w:val="000000"/>
                <w:sz w:val="18"/>
                <w:szCs w:val="18"/>
              </w:rPr>
            </w:pPr>
          </w:p>
        </w:tc>
        <w:tc>
          <w:tcPr>
            <w:tcW w:w="1116" w:type="dxa"/>
            <w:gridSpan w:val="2"/>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分析及</w:t>
            </w:r>
          </w:p>
        </w:tc>
      </w:tr>
      <w:tr>
        <w:tblPrEx>
          <w:tblCellMar>
            <w:top w:w="0" w:type="dxa"/>
            <w:left w:w="108" w:type="dxa"/>
            <w:bottom w:w="0" w:type="dxa"/>
            <w:right w:w="108" w:type="dxa"/>
          </w:tblCellMar>
        </w:tblPrEx>
        <w:trPr>
          <w:trHeight w:val="288" w:hRule="atLeast"/>
        </w:trPr>
        <w:tc>
          <w:tcPr>
            <w:tcW w:w="1951" w:type="dxa"/>
            <w:tcBorders>
              <w:top w:val="nil"/>
              <w:left w:val="single" w:color="000000" w:sz="4" w:space="0"/>
              <w:bottom w:val="nil"/>
              <w:right w:val="single" w:color="000000" w:sz="4" w:space="0"/>
            </w:tcBorders>
            <w:vAlign w:val="center"/>
          </w:tcPr>
          <w:p>
            <w:pPr>
              <w:rPr>
                <w:rFonts w:ascii="Times New Roman" w:hAnsi="Times New Roman" w:eastAsia="宋体"/>
                <w:color w:val="000000"/>
                <w:sz w:val="18"/>
                <w:szCs w:val="18"/>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vMerge w:val="continue"/>
            <w:tcBorders>
              <w:top w:val="single" w:color="auto"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836" w:type="dxa"/>
            <w:vMerge w:val="continue"/>
            <w:tcBorders>
              <w:top w:val="single" w:color="auto"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390"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675"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911" w:type="dxa"/>
            <w:vMerge w:val="continue"/>
            <w:tcBorders>
              <w:top w:val="single" w:color="000000" w:sz="4" w:space="0"/>
              <w:left w:val="nil"/>
              <w:bottom w:val="single" w:color="000000" w:sz="4" w:space="0"/>
              <w:right w:val="nil"/>
            </w:tcBorders>
            <w:vAlign w:val="center"/>
          </w:tcPr>
          <w:p>
            <w:pPr>
              <w:widowControl/>
              <w:jc w:val="left"/>
              <w:rPr>
                <w:rFonts w:ascii="Times New Roman" w:hAnsi="Times New Roman" w:eastAsia="宋体"/>
                <w:b/>
                <w:bCs/>
                <w:color w:val="000000"/>
                <w:sz w:val="18"/>
                <w:szCs w:val="18"/>
              </w:rPr>
            </w:pPr>
          </w:p>
        </w:tc>
        <w:tc>
          <w:tcPr>
            <w:tcW w:w="1116" w:type="dxa"/>
            <w:gridSpan w:val="2"/>
            <w:tcBorders>
              <w:top w:val="nil"/>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改进措施</w:t>
            </w:r>
          </w:p>
        </w:tc>
      </w:tr>
      <w:tr>
        <w:tblPrEx>
          <w:tblCellMar>
            <w:top w:w="0" w:type="dxa"/>
            <w:left w:w="108" w:type="dxa"/>
            <w:bottom w:w="0" w:type="dxa"/>
            <w:right w:w="108" w:type="dxa"/>
          </w:tblCellMar>
        </w:tblPrEx>
        <w:trPr>
          <w:trHeight w:val="672"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绩</w:t>
            </w:r>
          </w:p>
        </w:tc>
        <w:tc>
          <w:tcPr>
            <w:tcW w:w="1665" w:type="dxa"/>
            <w:vMerge w:val="restart"/>
            <w:tcBorders>
              <w:top w:val="nil"/>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投入（10</w:t>
            </w:r>
            <w:r>
              <w:rPr>
                <w:rFonts w:ascii="宋体" w:hAnsi="宋体"/>
                <w:b/>
                <w:bCs/>
                <w:color w:val="000000"/>
                <w:kern w:val="0"/>
                <w:sz w:val="18"/>
                <w:szCs w:val="18"/>
              </w:rPr>
              <w:t>分）</w:t>
            </w:r>
          </w:p>
        </w:tc>
        <w:tc>
          <w:tcPr>
            <w:tcW w:w="1770" w:type="dxa"/>
            <w:vMerge w:val="restart"/>
            <w:tcBorders>
              <w:top w:val="nil"/>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目标设定</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绩效目标合理性</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符合部门职责、省委省政府的方针政策</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符合</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567" w:hRule="atLeast"/>
        </w:trPr>
        <w:tc>
          <w:tcPr>
            <w:tcW w:w="1951" w:type="dxa"/>
            <w:tcBorders>
              <w:top w:val="nil"/>
              <w:left w:val="single" w:color="000000" w:sz="4" w:space="0"/>
              <w:bottom w:val="nil"/>
              <w:right w:val="single" w:color="000000" w:sz="4" w:space="0"/>
            </w:tcBorders>
            <w:vAlign w:val="center"/>
          </w:tcPr>
          <w:p>
            <w:pPr>
              <w:jc w:val="center"/>
              <w:rPr>
                <w:rFonts w:ascii="Times New Roman" w:hAnsi="Times New Roman" w:eastAsia="宋体"/>
                <w:b/>
                <w:bCs/>
                <w:color w:val="000000"/>
                <w:sz w:val="18"/>
                <w:szCs w:val="18"/>
              </w:rPr>
            </w:pPr>
          </w:p>
        </w:tc>
        <w:tc>
          <w:tcPr>
            <w:tcW w:w="1665"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绩效指标明确性</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明确</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567"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效</w:t>
            </w:r>
          </w:p>
        </w:tc>
        <w:tc>
          <w:tcPr>
            <w:tcW w:w="1665"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restart"/>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预算配置</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在职人员控制率</w:t>
            </w:r>
            <w:r>
              <w:rPr>
                <w:rFonts w:hint="eastAsia" w:ascii="Times New Roman" w:hAnsi="Times New Roman"/>
                <w:color w:val="000000"/>
                <w:kern w:val="0"/>
                <w:sz w:val="18"/>
                <w:szCs w:val="18"/>
              </w:rPr>
              <w:t>=</w:t>
            </w:r>
            <w:r>
              <w:rPr>
                <w:rFonts w:hint="eastAsia" w:ascii="宋体" w:hAnsi="宋体"/>
                <w:color w:val="000000"/>
                <w:kern w:val="0"/>
                <w:sz w:val="18"/>
                <w:szCs w:val="18"/>
              </w:rPr>
              <w:t>（在职人员数</w:t>
            </w:r>
            <w:r>
              <w:rPr>
                <w:rFonts w:hint="eastAsia" w:ascii="Times New Roman" w:hAnsi="Times New Roman"/>
                <w:color w:val="000000"/>
                <w:kern w:val="0"/>
                <w:sz w:val="18"/>
                <w:szCs w:val="18"/>
              </w:rPr>
              <w:t>/</w:t>
            </w:r>
            <w:r>
              <w:rPr>
                <w:rFonts w:hint="eastAsia" w:ascii="宋体" w:hAnsi="宋体"/>
                <w:color w:val="000000"/>
                <w:kern w:val="0"/>
                <w:sz w:val="18"/>
                <w:szCs w:val="18"/>
              </w:rPr>
              <w:t>编制数）×</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&lt;100%</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32/36=88.89%</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1302"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w:t>
            </w:r>
            <w:r>
              <w:rPr>
                <w:rFonts w:ascii="宋体" w:hAnsi="宋体"/>
                <w:b/>
                <w:bCs/>
                <w:color w:val="000000"/>
                <w:kern w:val="0"/>
                <w:sz w:val="18"/>
                <w:szCs w:val="18"/>
              </w:rPr>
              <w:t>三公经费</w:t>
            </w:r>
            <w:r>
              <w:rPr>
                <w:rFonts w:ascii="Times New Roman" w:hAnsi="Times New Roman"/>
                <w:b/>
                <w:bCs/>
                <w:color w:val="000000"/>
                <w:kern w:val="0"/>
                <w:sz w:val="18"/>
                <w:szCs w:val="18"/>
              </w:rPr>
              <w:t>”</w:t>
            </w:r>
            <w:r>
              <w:rPr>
                <w:rFonts w:ascii="宋体" w:hAnsi="宋体"/>
                <w:b/>
                <w:bCs/>
                <w:color w:val="000000"/>
                <w:kern w:val="0"/>
                <w:sz w:val="18"/>
                <w:szCs w:val="18"/>
              </w:rPr>
              <w:t>变动率</w:t>
            </w:r>
            <w:r>
              <w:rPr>
                <w:rFonts w:hint="eastAsia" w:ascii="Times New Roman" w:hAnsi="Times New Roman"/>
                <w:color w:val="000000"/>
                <w:kern w:val="0"/>
                <w:sz w:val="18"/>
                <w:szCs w:val="18"/>
              </w:rPr>
              <w:t>=[</w:t>
            </w:r>
            <w:r>
              <w:rPr>
                <w:rFonts w:hint="eastAsia" w:ascii="宋体" w:hAnsi="宋体"/>
                <w:color w:val="000000"/>
                <w:kern w:val="0"/>
                <w:sz w:val="18"/>
                <w:szCs w:val="18"/>
              </w:rPr>
              <w:t>（本年度“三公经费”总额</w:t>
            </w:r>
            <w:r>
              <w:rPr>
                <w:rFonts w:hint="eastAsia" w:ascii="Times New Roman" w:hAnsi="Times New Roman"/>
                <w:color w:val="000000"/>
                <w:kern w:val="0"/>
                <w:sz w:val="18"/>
                <w:szCs w:val="18"/>
              </w:rPr>
              <w:t>-</w:t>
            </w:r>
            <w:r>
              <w:rPr>
                <w:rFonts w:hint="eastAsia" w:ascii="宋体" w:hAnsi="宋体"/>
                <w:color w:val="000000"/>
                <w:kern w:val="0"/>
                <w:sz w:val="18"/>
                <w:szCs w:val="18"/>
              </w:rPr>
              <w:t>上年度“三公经费”总额）</w:t>
            </w:r>
            <w:r>
              <w:rPr>
                <w:rFonts w:hint="eastAsia" w:ascii="Times New Roman" w:hAnsi="Times New Roman"/>
                <w:color w:val="000000"/>
                <w:kern w:val="0"/>
                <w:sz w:val="18"/>
                <w:szCs w:val="18"/>
              </w:rPr>
              <w:t>/</w:t>
            </w:r>
            <w:r>
              <w:rPr>
                <w:rFonts w:hint="eastAsia" w:ascii="宋体" w:hAnsi="宋体"/>
                <w:color w:val="000000"/>
                <w:kern w:val="0"/>
                <w:sz w:val="18"/>
                <w:szCs w:val="18"/>
              </w:rPr>
              <w:t>上年度“三公经费”总额</w:t>
            </w:r>
            <w:r>
              <w:rPr>
                <w:rFonts w:hint="eastAsia" w:ascii="Times New Roman" w:hAnsi="Times New Roman"/>
                <w:color w:val="000000"/>
                <w:kern w:val="0"/>
                <w:sz w:val="18"/>
                <w:szCs w:val="18"/>
              </w:rPr>
              <w:t>]</w:t>
            </w:r>
            <w:r>
              <w:rPr>
                <w:rFonts w:hint="eastAsia" w:ascii="宋体" w:hAnsi="宋体"/>
                <w:color w:val="000000"/>
                <w:kern w:val="0"/>
                <w:sz w:val="18"/>
                <w:szCs w:val="18"/>
              </w:rPr>
              <w:t>×</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≤0</w:t>
            </w:r>
            <w:r>
              <w:rPr>
                <w:rFonts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(4545-4569)/4569=-0.52%</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702"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指</w:t>
            </w:r>
          </w:p>
        </w:tc>
        <w:tc>
          <w:tcPr>
            <w:tcW w:w="1665"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single" w:color="000000" w:sz="4" w:space="0"/>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重点支出安排率</w:t>
            </w:r>
            <w:r>
              <w:rPr>
                <w:rFonts w:ascii="Times New Roman" w:hAnsi="Times New Roman"/>
                <w:color w:val="000000"/>
                <w:kern w:val="0"/>
                <w:sz w:val="18"/>
                <w:szCs w:val="18"/>
              </w:rPr>
              <w:t>=</w:t>
            </w:r>
            <w:r>
              <w:rPr>
                <w:rFonts w:ascii="宋体" w:hAnsi="宋体"/>
                <w:color w:val="000000"/>
                <w:kern w:val="0"/>
                <w:sz w:val="18"/>
                <w:szCs w:val="18"/>
              </w:rPr>
              <w:t>（重点预算支出</w:t>
            </w:r>
            <w:r>
              <w:rPr>
                <w:rFonts w:ascii="Times New Roman" w:hAnsi="Times New Roman"/>
                <w:color w:val="000000"/>
                <w:kern w:val="0"/>
                <w:sz w:val="18"/>
                <w:szCs w:val="18"/>
              </w:rPr>
              <w:t>/</w:t>
            </w:r>
            <w:r>
              <w:rPr>
                <w:rFonts w:ascii="宋体" w:hAnsi="宋体"/>
                <w:color w:val="000000"/>
                <w:kern w:val="0"/>
                <w:sz w:val="18"/>
                <w:szCs w:val="18"/>
              </w:rPr>
              <w:t>预算总支出）</w:t>
            </w:r>
            <w:r>
              <w:rPr>
                <w:rFonts w:ascii="Times New Roman" w:hAnsi="Times New Roman"/>
                <w:color w:val="000000"/>
                <w:kern w:val="0"/>
                <w:sz w:val="18"/>
                <w:szCs w:val="18"/>
              </w:rPr>
              <w:t>×100%</w:t>
            </w:r>
            <w:r>
              <w:rPr>
                <w:rFonts w:ascii="宋体" w:hAnsi="宋体"/>
                <w:color w:val="000000"/>
                <w:kern w:val="0"/>
                <w:sz w:val="18"/>
                <w:szCs w:val="18"/>
              </w:rPr>
              <w:t>。</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&gt;</w:t>
            </w:r>
            <w:r>
              <w:rPr>
                <w:rFonts w:ascii="Times New Roman" w:hAnsi="Times New Roman"/>
                <w:b/>
                <w:bCs/>
                <w:color w:val="000000"/>
                <w:sz w:val="18"/>
                <w:szCs w:val="18"/>
              </w:rPr>
              <w:t>95%</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1275.94/1275.94=100%</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567" w:hRule="atLeast"/>
        </w:trPr>
        <w:tc>
          <w:tcPr>
            <w:tcW w:w="1951" w:type="dxa"/>
            <w:vMerge w:val="restart"/>
            <w:tcBorders>
              <w:top w:val="nil"/>
              <w:left w:val="single" w:color="000000" w:sz="4" w:space="0"/>
              <w:bottom w:val="nil"/>
              <w:right w:val="single" w:color="000000" w:sz="4" w:space="0"/>
            </w:tcBorders>
            <w:noWrap/>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标</w:t>
            </w:r>
          </w:p>
        </w:tc>
        <w:tc>
          <w:tcPr>
            <w:tcW w:w="1665" w:type="dxa"/>
            <w:tcBorders>
              <w:top w:val="single" w:color="000000" w:sz="4" w:space="0"/>
              <w:left w:val="nil"/>
              <w:bottom w:val="nil"/>
              <w:right w:val="single" w:color="000000" w:sz="4" w:space="0"/>
            </w:tcBorders>
            <w:noWrap/>
            <w:vAlign w:val="center"/>
          </w:tcPr>
          <w:p>
            <w:pPr>
              <w:rPr>
                <w:rFonts w:ascii="Times New Roman" w:hAnsi="Times New Roman" w:eastAsia="宋体"/>
                <w:color w:val="000000"/>
                <w:sz w:val="22"/>
              </w:rPr>
            </w:pPr>
          </w:p>
        </w:tc>
        <w:tc>
          <w:tcPr>
            <w:tcW w:w="1770"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预算执行</w:t>
            </w:r>
          </w:p>
        </w:tc>
        <w:tc>
          <w:tcPr>
            <w:tcW w:w="2834" w:type="dxa"/>
            <w:gridSpan w:val="2"/>
            <w:vMerge w:val="restart"/>
            <w:tcBorders>
              <w:top w:val="nil"/>
              <w:left w:val="nil"/>
              <w:bottom w:val="nil"/>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预算调整率</w:t>
            </w:r>
            <w:r>
              <w:rPr>
                <w:rFonts w:hint="eastAsia" w:ascii="Times New Roman" w:hAnsi="Times New Roman"/>
                <w:color w:val="000000"/>
                <w:kern w:val="0"/>
                <w:sz w:val="18"/>
                <w:szCs w:val="18"/>
              </w:rPr>
              <w:t>=</w:t>
            </w:r>
            <w:r>
              <w:rPr>
                <w:rFonts w:hint="eastAsia" w:ascii="宋体" w:hAnsi="宋体"/>
                <w:color w:val="000000"/>
                <w:kern w:val="0"/>
                <w:sz w:val="18"/>
                <w:szCs w:val="18"/>
              </w:rPr>
              <w:t>（预算调整数</w:t>
            </w:r>
            <w:r>
              <w:rPr>
                <w:rFonts w:hint="eastAsia" w:ascii="Times New Roman" w:hAnsi="Times New Roman"/>
                <w:color w:val="000000"/>
                <w:kern w:val="0"/>
                <w:sz w:val="18"/>
                <w:szCs w:val="18"/>
              </w:rPr>
              <w:t>/</w:t>
            </w:r>
            <w:r>
              <w:rPr>
                <w:rFonts w:hint="eastAsia" w:ascii="宋体" w:hAnsi="宋体"/>
                <w:color w:val="000000"/>
                <w:kern w:val="0"/>
                <w:sz w:val="18"/>
                <w:szCs w:val="18"/>
              </w:rPr>
              <w:t>预算数）×</w:t>
            </w:r>
            <w:r>
              <w:rPr>
                <w:rFonts w:hint="eastAsia" w:ascii="Times New Roman" w:hAnsi="Times New Roman"/>
                <w:color w:val="000000"/>
                <w:kern w:val="0"/>
                <w:sz w:val="18"/>
                <w:szCs w:val="18"/>
              </w:rPr>
              <w:t>100%</w:t>
            </w:r>
            <w:r>
              <w:rPr>
                <w:rFonts w:hint="eastAsia" w:ascii="宋体" w:hAnsi="宋体"/>
                <w:color w:val="000000"/>
                <w:kern w:val="0"/>
                <w:sz w:val="18"/>
                <w:szCs w:val="18"/>
              </w:rPr>
              <w:t>。</w:t>
            </w:r>
          </w:p>
        </w:tc>
        <w:tc>
          <w:tcPr>
            <w:tcW w:w="1836" w:type="dxa"/>
            <w:vMerge w:val="restart"/>
            <w:tcBorders>
              <w:top w:val="nil"/>
              <w:left w:val="nil"/>
              <w:bottom w:val="nil"/>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&lt;</w:t>
            </w:r>
            <w:r>
              <w:rPr>
                <w:rFonts w:ascii="Times New Roman" w:hAnsi="Times New Roman"/>
                <w:b/>
                <w:bCs/>
                <w:color w:val="000000"/>
                <w:sz w:val="18"/>
                <w:szCs w:val="18"/>
              </w:rPr>
              <w:t>5%</w:t>
            </w:r>
          </w:p>
        </w:tc>
        <w:tc>
          <w:tcPr>
            <w:tcW w:w="1390" w:type="dxa"/>
            <w:gridSpan w:val="2"/>
            <w:vMerge w:val="restart"/>
            <w:tcBorders>
              <w:top w:val="nil"/>
              <w:left w:val="nil"/>
              <w:bottom w:val="nil"/>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0/1275.94=0%</w:t>
            </w:r>
          </w:p>
        </w:tc>
        <w:tc>
          <w:tcPr>
            <w:tcW w:w="675" w:type="dxa"/>
            <w:vMerge w:val="restart"/>
            <w:tcBorders>
              <w:top w:val="nil"/>
              <w:left w:val="nil"/>
              <w:bottom w:val="nil"/>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vMerge w:val="restart"/>
            <w:tcBorders>
              <w:top w:val="nil"/>
              <w:left w:val="nil"/>
              <w:bottom w:val="nil"/>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3</w:t>
            </w:r>
          </w:p>
        </w:tc>
        <w:tc>
          <w:tcPr>
            <w:tcW w:w="1116" w:type="dxa"/>
            <w:gridSpan w:val="2"/>
            <w:vMerge w:val="restart"/>
            <w:tcBorders>
              <w:top w:val="nil"/>
              <w:left w:val="single" w:color="000000" w:sz="4" w:space="0"/>
              <w:bottom w:val="nil"/>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90" w:hRule="atLeast"/>
        </w:trPr>
        <w:tc>
          <w:tcPr>
            <w:tcW w:w="1951" w:type="dxa"/>
            <w:vMerge w:val="continue"/>
            <w:tcBorders>
              <w:top w:val="nil"/>
              <w:left w:val="single" w:color="000000" w:sz="4" w:space="0"/>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vMerge w:val="continue"/>
            <w:tcBorders>
              <w:top w:val="nil"/>
              <w:left w:val="nil"/>
              <w:bottom w:val="nil"/>
              <w:right w:val="single" w:color="000000" w:sz="4" w:space="0"/>
            </w:tcBorders>
            <w:vAlign w:val="center"/>
          </w:tcPr>
          <w:p>
            <w:pPr>
              <w:widowControl/>
              <w:jc w:val="left"/>
              <w:rPr>
                <w:rFonts w:ascii="Times New Roman" w:hAnsi="Times New Roman" w:eastAsia="宋体"/>
                <w:color w:val="000000"/>
                <w:sz w:val="18"/>
                <w:szCs w:val="18"/>
              </w:rPr>
            </w:pPr>
          </w:p>
        </w:tc>
        <w:tc>
          <w:tcPr>
            <w:tcW w:w="1836"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1390" w:type="dxa"/>
            <w:gridSpan w:val="2"/>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675" w:type="dxa"/>
            <w:vMerge w:val="continue"/>
            <w:tcBorders>
              <w:top w:val="nil"/>
              <w:left w:val="nil"/>
              <w:bottom w:val="nil"/>
              <w:right w:val="single" w:color="000000" w:sz="4" w:space="0"/>
            </w:tcBorders>
            <w:vAlign w:val="center"/>
          </w:tcPr>
          <w:p>
            <w:pPr>
              <w:widowControl/>
              <w:jc w:val="left"/>
              <w:rPr>
                <w:rFonts w:ascii="Times New Roman" w:hAnsi="Times New Roman" w:eastAsia="宋体"/>
                <w:color w:val="000000"/>
                <w:sz w:val="20"/>
                <w:szCs w:val="20"/>
              </w:rPr>
            </w:pPr>
          </w:p>
        </w:tc>
        <w:tc>
          <w:tcPr>
            <w:tcW w:w="911" w:type="dxa"/>
            <w:vMerge w:val="continue"/>
            <w:tcBorders>
              <w:top w:val="nil"/>
              <w:left w:val="nil"/>
              <w:bottom w:val="nil"/>
              <w:right w:val="nil"/>
            </w:tcBorders>
            <w:vAlign w:val="center"/>
          </w:tcPr>
          <w:p>
            <w:pPr>
              <w:widowControl/>
              <w:jc w:val="left"/>
              <w:rPr>
                <w:rFonts w:ascii="Times New Roman" w:hAnsi="Times New Roman" w:eastAsia="宋体"/>
                <w:b/>
                <w:bCs/>
                <w:color w:val="000000"/>
                <w:sz w:val="18"/>
                <w:szCs w:val="18"/>
              </w:rPr>
            </w:pPr>
          </w:p>
        </w:tc>
        <w:tc>
          <w:tcPr>
            <w:tcW w:w="1116" w:type="dxa"/>
            <w:gridSpan w:val="2"/>
            <w:vMerge w:val="continue"/>
            <w:tcBorders>
              <w:top w:val="nil"/>
              <w:left w:val="single" w:color="000000" w:sz="4" w:space="0"/>
              <w:bottom w:val="nil"/>
              <w:right w:val="single" w:color="000000" w:sz="4" w:space="0"/>
            </w:tcBorders>
            <w:vAlign w:val="center"/>
          </w:tcPr>
          <w:p>
            <w:pPr>
              <w:widowControl/>
              <w:jc w:val="left"/>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73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支付进度率</w:t>
            </w:r>
            <w:r>
              <w:rPr>
                <w:rFonts w:hint="eastAsia" w:ascii="Times New Roman" w:hAnsi="Times New Roman"/>
                <w:color w:val="000000"/>
                <w:kern w:val="0"/>
                <w:sz w:val="18"/>
                <w:szCs w:val="18"/>
              </w:rPr>
              <w:t>=</w:t>
            </w:r>
            <w:r>
              <w:rPr>
                <w:rFonts w:hint="eastAsia" w:ascii="宋体" w:hAnsi="宋体"/>
                <w:color w:val="000000"/>
                <w:kern w:val="0"/>
                <w:sz w:val="18"/>
                <w:szCs w:val="18"/>
              </w:rPr>
              <w:t>（实际支付进度</w:t>
            </w:r>
            <w:r>
              <w:rPr>
                <w:rFonts w:hint="eastAsia" w:ascii="Times New Roman" w:hAnsi="Times New Roman"/>
                <w:color w:val="000000"/>
                <w:kern w:val="0"/>
                <w:sz w:val="18"/>
                <w:szCs w:val="18"/>
              </w:rPr>
              <w:t>/</w:t>
            </w:r>
            <w:r>
              <w:rPr>
                <w:rFonts w:hint="eastAsia" w:ascii="宋体" w:hAnsi="宋体"/>
                <w:color w:val="000000"/>
                <w:kern w:val="0"/>
                <w:sz w:val="18"/>
                <w:szCs w:val="18"/>
              </w:rPr>
              <w:t>既定支付进度）×</w:t>
            </w:r>
            <w:r>
              <w:rPr>
                <w:rFonts w:hint="eastAsia" w:ascii="Times New Roman" w:hAnsi="Times New Roman"/>
                <w:color w:val="000000"/>
                <w:kern w:val="0"/>
                <w:sz w:val="18"/>
                <w:szCs w:val="18"/>
              </w:rPr>
              <w:t>100%</w:t>
            </w:r>
            <w:r>
              <w:rPr>
                <w:rFonts w:hint="eastAsia" w:ascii="宋体" w:hAnsi="宋体"/>
                <w:color w:val="000000"/>
                <w:kern w:val="0"/>
                <w:sz w:val="18"/>
                <w:szCs w:val="18"/>
              </w:rPr>
              <w:t>。</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&gt;</w:t>
            </w:r>
            <w:r>
              <w:rPr>
                <w:rFonts w:ascii="Times New Roman" w:hAnsi="Times New Roman"/>
                <w:b/>
                <w:bCs/>
                <w:color w:val="000000"/>
                <w:sz w:val="18"/>
                <w:szCs w:val="18"/>
              </w:rPr>
              <w:t>90%</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1172.72/1275.94=91.91%</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3</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987"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过程（30</w:t>
            </w:r>
            <w:r>
              <w:rPr>
                <w:rFonts w:ascii="宋体" w:hAnsi="宋体"/>
                <w:b/>
                <w:bCs/>
                <w:color w:val="000000"/>
                <w:kern w:val="0"/>
                <w:sz w:val="18"/>
                <w:szCs w:val="18"/>
              </w:rPr>
              <w:t>分）</w:t>
            </w: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结转结余率</w:t>
            </w:r>
            <w:r>
              <w:rPr>
                <w:rFonts w:ascii="Times New Roman" w:hAnsi="Times New Roman"/>
                <w:color w:val="000000"/>
                <w:kern w:val="0"/>
                <w:sz w:val="18"/>
                <w:szCs w:val="18"/>
              </w:rPr>
              <w:t>=</w:t>
            </w:r>
            <w:r>
              <w:rPr>
                <w:rFonts w:ascii="宋体" w:hAnsi="宋体"/>
                <w:color w:val="000000"/>
                <w:kern w:val="0"/>
                <w:sz w:val="18"/>
                <w:szCs w:val="18"/>
              </w:rPr>
              <w:t>结转结余总额</w:t>
            </w:r>
            <w:r>
              <w:rPr>
                <w:rFonts w:ascii="Times New Roman" w:hAnsi="Times New Roman"/>
                <w:color w:val="000000"/>
                <w:kern w:val="0"/>
                <w:sz w:val="18"/>
                <w:szCs w:val="18"/>
              </w:rPr>
              <w:t>/</w:t>
            </w:r>
            <w:r>
              <w:rPr>
                <w:rFonts w:ascii="宋体" w:hAnsi="宋体"/>
                <w:color w:val="000000"/>
                <w:kern w:val="0"/>
                <w:sz w:val="18"/>
                <w:szCs w:val="18"/>
              </w:rPr>
              <w:t>支出预算数</w:t>
            </w:r>
            <w:r>
              <w:rPr>
                <w:rFonts w:ascii="Times New Roman" w:hAnsi="Times New Roman"/>
                <w:color w:val="000000"/>
                <w:kern w:val="0"/>
                <w:sz w:val="18"/>
                <w:szCs w:val="18"/>
              </w:rPr>
              <w:t>×100%</w:t>
            </w:r>
            <w:r>
              <w:rPr>
                <w:rFonts w:ascii="宋体" w:hAnsi="宋体"/>
                <w:color w:val="000000"/>
                <w:kern w:val="0"/>
                <w:sz w:val="18"/>
                <w:szCs w:val="18"/>
              </w:rPr>
              <w:t>。</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&lt;</w:t>
            </w:r>
            <w:r>
              <w:rPr>
                <w:rFonts w:ascii="Times New Roman" w:hAnsi="Times New Roman"/>
                <w:b/>
                <w:bCs/>
                <w:color w:val="000000"/>
                <w:sz w:val="18"/>
                <w:szCs w:val="18"/>
              </w:rPr>
              <w:t>10%</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103.22/1275.94=8.09%</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908"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公用经费控制率</w:t>
            </w:r>
            <w:r>
              <w:rPr>
                <w:rFonts w:hint="eastAsia" w:ascii="Times New Roman" w:hAnsi="Times New Roman"/>
                <w:color w:val="000000"/>
                <w:kern w:val="0"/>
                <w:sz w:val="18"/>
                <w:szCs w:val="18"/>
              </w:rPr>
              <w:t>=</w:t>
            </w:r>
            <w:r>
              <w:rPr>
                <w:rFonts w:hint="eastAsia" w:ascii="宋体" w:hAnsi="宋体"/>
                <w:color w:val="000000"/>
                <w:kern w:val="0"/>
                <w:sz w:val="18"/>
                <w:szCs w:val="18"/>
              </w:rPr>
              <w:t>（实际支出公用经费总额</w:t>
            </w:r>
            <w:r>
              <w:rPr>
                <w:rFonts w:hint="eastAsia" w:ascii="Times New Roman" w:hAnsi="Times New Roman"/>
                <w:color w:val="000000"/>
                <w:kern w:val="0"/>
                <w:sz w:val="18"/>
                <w:szCs w:val="18"/>
              </w:rPr>
              <w:t>/</w:t>
            </w:r>
            <w:r>
              <w:rPr>
                <w:rFonts w:hint="eastAsia" w:ascii="宋体" w:hAnsi="宋体"/>
                <w:color w:val="000000"/>
                <w:kern w:val="0"/>
                <w:sz w:val="18"/>
                <w:szCs w:val="18"/>
              </w:rPr>
              <w:t>预算安排公用经费总额）×</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≤100%</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=74.48/75.03=99.26%</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1098"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w:t>
            </w:r>
            <w:r>
              <w:rPr>
                <w:rFonts w:ascii="宋体" w:hAnsi="宋体"/>
                <w:b/>
                <w:bCs/>
                <w:color w:val="000000"/>
                <w:kern w:val="0"/>
                <w:sz w:val="18"/>
                <w:szCs w:val="18"/>
              </w:rPr>
              <w:t>三公经费</w:t>
            </w:r>
            <w:r>
              <w:rPr>
                <w:rFonts w:ascii="Times New Roman" w:hAnsi="Times New Roman"/>
                <w:b/>
                <w:bCs/>
                <w:color w:val="000000"/>
                <w:kern w:val="0"/>
                <w:sz w:val="18"/>
                <w:szCs w:val="18"/>
              </w:rPr>
              <w:t>”</w:t>
            </w:r>
            <w:r>
              <w:rPr>
                <w:rFonts w:ascii="宋体" w:hAnsi="宋体"/>
                <w:b/>
                <w:bCs/>
                <w:color w:val="000000"/>
                <w:kern w:val="0"/>
                <w:sz w:val="18"/>
                <w:szCs w:val="18"/>
              </w:rPr>
              <w:t>控制率</w:t>
            </w:r>
            <w:r>
              <w:rPr>
                <w:rFonts w:hint="eastAsia" w:ascii="Times New Roman" w:hAnsi="Times New Roman"/>
                <w:color w:val="000000"/>
                <w:kern w:val="0"/>
                <w:sz w:val="18"/>
                <w:szCs w:val="18"/>
              </w:rPr>
              <w:t>=</w:t>
            </w:r>
            <w:r>
              <w:rPr>
                <w:rFonts w:hint="eastAsia" w:ascii="宋体" w:hAnsi="宋体"/>
                <w:color w:val="000000"/>
                <w:kern w:val="0"/>
                <w:sz w:val="18"/>
                <w:szCs w:val="18"/>
              </w:rPr>
              <w:t>（“三公经费”实际支出数</w:t>
            </w:r>
            <w:r>
              <w:rPr>
                <w:rFonts w:hint="eastAsia" w:ascii="Times New Roman" w:hAnsi="Times New Roman"/>
                <w:color w:val="000000"/>
                <w:kern w:val="0"/>
                <w:sz w:val="18"/>
                <w:szCs w:val="18"/>
              </w:rPr>
              <w:t>/</w:t>
            </w:r>
            <w:r>
              <w:rPr>
                <w:rFonts w:hint="eastAsia" w:ascii="宋体" w:hAnsi="宋体"/>
                <w:color w:val="000000"/>
                <w:kern w:val="0"/>
                <w:sz w:val="18"/>
                <w:szCs w:val="18"/>
              </w:rPr>
              <w:t>“三公经费”预算安排数）×</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≤100%</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4545/10000=45.45%</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933" w:hRule="atLeast"/>
        </w:trPr>
        <w:tc>
          <w:tcPr>
            <w:tcW w:w="1951" w:type="dxa"/>
            <w:tcBorders>
              <w:top w:val="nil"/>
              <w:left w:val="single" w:color="000000" w:sz="4" w:space="0"/>
              <w:bottom w:val="single" w:color="000000" w:sz="4" w:space="0"/>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single" w:color="000000" w:sz="4" w:space="0"/>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政府采购执行率</w:t>
            </w:r>
            <w:r>
              <w:rPr>
                <w:rFonts w:hint="eastAsia" w:ascii="Times New Roman" w:hAnsi="Times New Roman"/>
                <w:color w:val="000000"/>
                <w:kern w:val="0"/>
                <w:sz w:val="18"/>
                <w:szCs w:val="18"/>
              </w:rPr>
              <w:t>=</w:t>
            </w:r>
            <w:r>
              <w:rPr>
                <w:rFonts w:hint="eastAsia" w:ascii="宋体" w:hAnsi="宋体"/>
                <w:color w:val="000000"/>
                <w:kern w:val="0"/>
                <w:sz w:val="18"/>
                <w:szCs w:val="18"/>
              </w:rPr>
              <w:t>（实际政府采购金额</w:t>
            </w:r>
            <w:r>
              <w:rPr>
                <w:rFonts w:hint="eastAsia" w:ascii="Times New Roman" w:hAnsi="Times New Roman"/>
                <w:color w:val="000000"/>
                <w:kern w:val="0"/>
                <w:sz w:val="18"/>
                <w:szCs w:val="18"/>
              </w:rPr>
              <w:t>/</w:t>
            </w:r>
            <w:r>
              <w:rPr>
                <w:rFonts w:hint="eastAsia" w:ascii="宋体" w:hAnsi="宋体"/>
                <w:color w:val="000000"/>
                <w:kern w:val="0"/>
                <w:sz w:val="18"/>
                <w:szCs w:val="18"/>
              </w:rPr>
              <w:t>政府采购预算数）×</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&gt;</w:t>
            </w:r>
            <w:r>
              <w:rPr>
                <w:rFonts w:ascii="Times New Roman" w:hAnsi="Times New Roman"/>
                <w:b/>
                <w:bCs/>
                <w:color w:val="000000"/>
                <w:sz w:val="18"/>
                <w:szCs w:val="18"/>
              </w:rPr>
              <w:t>95%</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358.82/360=99.67%</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288" w:hRule="atLeast"/>
        </w:trPr>
        <w:tc>
          <w:tcPr>
            <w:tcW w:w="1951" w:type="dxa"/>
            <w:tcBorders>
              <w:top w:val="single" w:color="000000" w:sz="4" w:space="0"/>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一级指标</w:t>
            </w:r>
          </w:p>
        </w:tc>
        <w:tc>
          <w:tcPr>
            <w:tcW w:w="1770"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二级指标</w:t>
            </w:r>
          </w:p>
        </w:tc>
        <w:tc>
          <w:tcPr>
            <w:tcW w:w="2834" w:type="dxa"/>
            <w:gridSpan w:val="2"/>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三级指标</w:t>
            </w:r>
          </w:p>
        </w:tc>
        <w:tc>
          <w:tcPr>
            <w:tcW w:w="1836"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年度指标值</w:t>
            </w:r>
          </w:p>
        </w:tc>
        <w:tc>
          <w:tcPr>
            <w:tcW w:w="1390" w:type="dxa"/>
            <w:gridSpan w:val="2"/>
            <w:vMerge w:val="restart"/>
            <w:tcBorders>
              <w:top w:val="nil"/>
              <w:left w:val="nil"/>
              <w:bottom w:val="single" w:color="000000" w:sz="4" w:space="0"/>
              <w:right w:val="single" w:color="000000" w:sz="4" w:space="0"/>
            </w:tcBorders>
            <w:vAlign w:val="center"/>
          </w:tcPr>
          <w:p>
            <w:pPr>
              <w:widowControl/>
              <w:jc w:val="left"/>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实际完成值</w:t>
            </w:r>
          </w:p>
        </w:tc>
        <w:tc>
          <w:tcPr>
            <w:tcW w:w="675"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分值</w:t>
            </w:r>
          </w:p>
        </w:tc>
        <w:tc>
          <w:tcPr>
            <w:tcW w:w="911" w:type="dxa"/>
            <w:vMerge w:val="restart"/>
            <w:tcBorders>
              <w:top w:val="nil"/>
              <w:left w:val="nil"/>
              <w:bottom w:val="single" w:color="000000" w:sz="4" w:space="0"/>
              <w:right w:val="nil"/>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得分</w:t>
            </w:r>
          </w:p>
        </w:tc>
        <w:tc>
          <w:tcPr>
            <w:tcW w:w="1116" w:type="dxa"/>
            <w:gridSpan w:val="2"/>
            <w:tcBorders>
              <w:top w:val="single" w:color="000000" w:sz="4" w:space="0"/>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偏差原因</w:t>
            </w:r>
          </w:p>
        </w:tc>
      </w:tr>
      <w:tr>
        <w:tblPrEx>
          <w:tblCellMar>
            <w:top w:w="0" w:type="dxa"/>
            <w:left w:w="108" w:type="dxa"/>
            <w:bottom w:w="0" w:type="dxa"/>
            <w:right w:w="108" w:type="dxa"/>
          </w:tblCellMar>
        </w:tblPrEx>
        <w:trPr>
          <w:trHeight w:val="288"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836"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390" w:type="dxa"/>
            <w:gridSpan w:val="2"/>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67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911" w:type="dxa"/>
            <w:vMerge w:val="continue"/>
            <w:tcBorders>
              <w:top w:val="nil"/>
              <w:left w:val="nil"/>
              <w:bottom w:val="single" w:color="000000" w:sz="4" w:space="0"/>
              <w:right w:val="nil"/>
            </w:tcBorders>
            <w:vAlign w:val="center"/>
          </w:tcPr>
          <w:p>
            <w:pPr>
              <w:widowControl/>
              <w:jc w:val="left"/>
              <w:rPr>
                <w:rFonts w:ascii="Times New Roman" w:hAnsi="Times New Roman" w:eastAsia="宋体"/>
                <w:b/>
                <w:bCs/>
                <w:color w:val="000000"/>
                <w:sz w:val="18"/>
                <w:szCs w:val="18"/>
              </w:rPr>
            </w:pPr>
          </w:p>
        </w:tc>
        <w:tc>
          <w:tcPr>
            <w:tcW w:w="1116" w:type="dxa"/>
            <w:gridSpan w:val="2"/>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分析及</w:t>
            </w:r>
          </w:p>
        </w:tc>
      </w:tr>
      <w:tr>
        <w:tblPrEx>
          <w:tblCellMar>
            <w:top w:w="0" w:type="dxa"/>
            <w:left w:w="108" w:type="dxa"/>
            <w:bottom w:w="0" w:type="dxa"/>
            <w:right w:w="108" w:type="dxa"/>
          </w:tblCellMar>
        </w:tblPrEx>
        <w:trPr>
          <w:trHeight w:val="288"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836"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390" w:type="dxa"/>
            <w:gridSpan w:val="2"/>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67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911" w:type="dxa"/>
            <w:vMerge w:val="continue"/>
            <w:tcBorders>
              <w:top w:val="nil"/>
              <w:left w:val="nil"/>
              <w:bottom w:val="single" w:color="000000" w:sz="4" w:space="0"/>
              <w:right w:val="nil"/>
            </w:tcBorders>
            <w:vAlign w:val="center"/>
          </w:tcPr>
          <w:p>
            <w:pPr>
              <w:widowControl/>
              <w:jc w:val="left"/>
              <w:rPr>
                <w:rFonts w:ascii="Times New Roman" w:hAnsi="Times New Roman" w:eastAsia="宋体"/>
                <w:b/>
                <w:bCs/>
                <w:color w:val="000000"/>
                <w:sz w:val="18"/>
                <w:szCs w:val="18"/>
              </w:rPr>
            </w:pPr>
          </w:p>
        </w:tc>
        <w:tc>
          <w:tcPr>
            <w:tcW w:w="1116" w:type="dxa"/>
            <w:gridSpan w:val="2"/>
            <w:tcBorders>
              <w:top w:val="nil"/>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改进措施</w:t>
            </w: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预算管理</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管理制度健全性</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健全</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vAlign w:val="center"/>
          </w:tcPr>
          <w:p>
            <w:pPr>
              <w:rPr>
                <w:rFonts w:ascii="Times New Roman" w:hAnsi="Times New Roman" w:eastAsia="宋体"/>
                <w:color w:val="000000"/>
                <w:sz w:val="18"/>
                <w:szCs w:val="18"/>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资金使用合规性</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合规</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绩</w:t>
            </w: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预决算信息公开性</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按要求公开</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完成</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vAlign w:val="center"/>
          </w:tcPr>
          <w:p>
            <w:pPr>
              <w:jc w:val="center"/>
              <w:rPr>
                <w:rFonts w:ascii="Times New Roman" w:hAnsi="Times New Roman" w:eastAsia="宋体"/>
                <w:b/>
                <w:bCs/>
                <w:color w:val="000000"/>
                <w:sz w:val="18"/>
                <w:szCs w:val="18"/>
              </w:rPr>
            </w:pPr>
          </w:p>
        </w:tc>
        <w:tc>
          <w:tcPr>
            <w:tcW w:w="1665" w:type="dxa"/>
            <w:tcBorders>
              <w:top w:val="nil"/>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过程（30</w:t>
            </w:r>
            <w:r>
              <w:rPr>
                <w:rFonts w:ascii="宋体" w:hAnsi="宋体"/>
                <w:b/>
                <w:bCs/>
                <w:color w:val="000000"/>
                <w:kern w:val="0"/>
                <w:sz w:val="18"/>
                <w:szCs w:val="18"/>
              </w:rPr>
              <w:t>分）</w:t>
            </w: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基础信息完整性</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完整</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效</w:t>
            </w: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资产管理</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资产管理制度健全性</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健全</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2</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tcBorders>
              <w:top w:val="nil"/>
              <w:left w:val="nil"/>
              <w:bottom w:val="nil"/>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资产管理安全性</w:t>
            </w:r>
          </w:p>
        </w:tc>
        <w:tc>
          <w:tcPr>
            <w:tcW w:w="1836" w:type="dxa"/>
            <w:tcBorders>
              <w:top w:val="single" w:color="000000" w:sz="4" w:space="0"/>
              <w:left w:val="nil"/>
              <w:bottom w:val="single" w:color="000000" w:sz="4" w:space="0"/>
              <w:right w:val="single" w:color="000000" w:sz="4" w:space="0"/>
            </w:tcBorders>
            <w:vAlign w:val="center"/>
          </w:tcPr>
          <w:p>
            <w:pPr>
              <w:ind w:firstLine="540" w:firstLineChars="300"/>
              <w:rPr>
                <w:rFonts w:ascii="Times New Roman" w:hAnsi="Times New Roman" w:eastAsia="宋体"/>
                <w:b/>
                <w:bCs/>
                <w:color w:val="000000"/>
                <w:sz w:val="18"/>
                <w:szCs w:val="18"/>
              </w:rPr>
            </w:pPr>
            <w:r>
              <w:rPr>
                <w:rFonts w:hint="eastAsia" w:ascii="Times New Roman" w:hAnsi="Times New Roman"/>
                <w:b/>
                <w:bCs/>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100%</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3</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1008"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指</w:t>
            </w:r>
          </w:p>
        </w:tc>
        <w:tc>
          <w:tcPr>
            <w:tcW w:w="1665" w:type="dxa"/>
            <w:tcBorders>
              <w:top w:val="nil"/>
              <w:left w:val="nil"/>
              <w:bottom w:val="single" w:color="000000" w:sz="4" w:space="0"/>
              <w:right w:val="single" w:color="000000" w:sz="4" w:space="0"/>
            </w:tcBorders>
            <w:vAlign w:val="center"/>
          </w:tcPr>
          <w:p>
            <w:pPr>
              <w:rPr>
                <w:rFonts w:ascii="Times New Roman" w:hAnsi="Times New Roman" w:eastAsia="宋体"/>
                <w:b/>
                <w:bCs/>
                <w:color w:val="000000"/>
                <w:sz w:val="18"/>
                <w:szCs w:val="18"/>
              </w:rPr>
            </w:pPr>
          </w:p>
        </w:tc>
        <w:tc>
          <w:tcPr>
            <w:tcW w:w="1770"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b/>
                <w:bCs/>
                <w:color w:val="000000"/>
                <w:kern w:val="0"/>
                <w:sz w:val="18"/>
                <w:szCs w:val="18"/>
              </w:rPr>
              <w:t>固定资产利用率</w:t>
            </w:r>
            <w:r>
              <w:rPr>
                <w:rFonts w:hint="eastAsia" w:ascii="Times New Roman" w:hAnsi="Times New Roman"/>
                <w:color w:val="000000"/>
                <w:kern w:val="0"/>
                <w:sz w:val="18"/>
                <w:szCs w:val="18"/>
              </w:rPr>
              <w:t>=</w:t>
            </w:r>
            <w:r>
              <w:rPr>
                <w:rFonts w:hint="eastAsia" w:ascii="宋体" w:hAnsi="宋体"/>
                <w:color w:val="000000"/>
                <w:kern w:val="0"/>
                <w:sz w:val="18"/>
                <w:szCs w:val="18"/>
              </w:rPr>
              <w:t>（实际在用固定资产总额</w:t>
            </w:r>
            <w:r>
              <w:rPr>
                <w:rFonts w:hint="eastAsia" w:ascii="Times New Roman" w:hAnsi="Times New Roman"/>
                <w:color w:val="000000"/>
                <w:kern w:val="0"/>
                <w:sz w:val="18"/>
                <w:szCs w:val="18"/>
              </w:rPr>
              <w:t>/</w:t>
            </w:r>
            <w:r>
              <w:rPr>
                <w:rFonts w:hint="eastAsia" w:ascii="宋体" w:hAnsi="宋体"/>
                <w:color w:val="000000"/>
                <w:kern w:val="0"/>
                <w:sz w:val="18"/>
                <w:szCs w:val="18"/>
              </w:rPr>
              <w:t>所有固定资产总额）×</w:t>
            </w:r>
            <w:r>
              <w:rPr>
                <w:rFonts w:hint="eastAsia" w:ascii="Times New Roman" w:hAnsi="Times New Roman"/>
                <w:color w:val="000000"/>
                <w:kern w:val="0"/>
                <w:sz w:val="18"/>
                <w:szCs w:val="18"/>
              </w:rPr>
              <w:t>100%</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r>
              <w:rPr>
                <w:rFonts w:hint="eastAsia" w:ascii="Times New Roman" w:hAnsi="Times New Roman"/>
                <w:color w:val="000000"/>
                <w:kern w:val="0"/>
                <w:sz w:val="18"/>
                <w:szCs w:val="18"/>
              </w:rPr>
              <w:t>&gt;95%</w:t>
            </w:r>
          </w:p>
        </w:tc>
        <w:tc>
          <w:tcPr>
            <w:tcW w:w="1390"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b/>
                <w:bCs/>
                <w:color w:val="000000"/>
                <w:sz w:val="18"/>
                <w:szCs w:val="18"/>
              </w:rPr>
            </w:pPr>
            <w:r>
              <w:rPr>
                <w:rFonts w:hint="eastAsia" w:ascii="Times New Roman" w:hAnsi="Times New Roman"/>
                <w:b/>
                <w:bCs/>
                <w:color w:val="000000"/>
                <w:sz w:val="18"/>
                <w:szCs w:val="18"/>
              </w:rPr>
              <w:t>2559.88/2559.88=100%</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tcBorders>
              <w:top w:val="single" w:color="000000" w:sz="4" w:space="0"/>
              <w:left w:val="nil"/>
              <w:bottom w:val="single" w:color="000000" w:sz="4" w:space="0"/>
              <w:right w:val="nil"/>
            </w:tcBorders>
            <w:vAlign w:val="center"/>
          </w:tcPr>
          <w:p>
            <w:pPr>
              <w:jc w:val="center"/>
              <w:rPr>
                <w:rFonts w:ascii="Times New Roman" w:hAnsi="Times New Roman" w:eastAsia="宋体"/>
                <w:b/>
                <w:bCs/>
                <w:color w:val="000000"/>
                <w:sz w:val="18"/>
                <w:szCs w:val="18"/>
              </w:rPr>
            </w:pPr>
            <w:r>
              <w:rPr>
                <w:rFonts w:hint="eastAsia" w:ascii="Times New Roman" w:hAnsi="Times New Roman"/>
                <w:b/>
                <w:bCs/>
                <w:color w:val="000000"/>
                <w:sz w:val="18"/>
                <w:szCs w:val="18"/>
              </w:rPr>
              <w:t>3</w:t>
            </w:r>
          </w:p>
        </w:tc>
        <w:tc>
          <w:tcPr>
            <w:tcW w:w="1116" w:type="dxa"/>
            <w:gridSpan w:val="2"/>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r>
      <w:tr>
        <w:tblPrEx>
          <w:tblCellMar>
            <w:top w:w="0" w:type="dxa"/>
            <w:left w:w="108" w:type="dxa"/>
            <w:bottom w:w="0" w:type="dxa"/>
            <w:right w:w="108" w:type="dxa"/>
          </w:tblCellMar>
        </w:tblPrEx>
        <w:trPr>
          <w:trHeight w:val="406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产出（10</w:t>
            </w:r>
            <w:r>
              <w:rPr>
                <w:rFonts w:ascii="宋体" w:hAnsi="宋体"/>
                <w:b/>
                <w:bCs/>
                <w:color w:val="000000"/>
                <w:kern w:val="0"/>
                <w:sz w:val="18"/>
                <w:szCs w:val="18"/>
              </w:rPr>
              <w:t>分）</w:t>
            </w:r>
          </w:p>
        </w:tc>
        <w:tc>
          <w:tcPr>
            <w:tcW w:w="1770" w:type="dxa"/>
            <w:vMerge w:val="restart"/>
            <w:tcBorders>
              <w:top w:val="nil"/>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职责履行</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实际完成率</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≥100%</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60%*3/3+30%*2.5/3+10%*2/3=91.6%</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2.75</w:t>
            </w:r>
          </w:p>
        </w:tc>
        <w:tc>
          <w:tcPr>
            <w:tcW w:w="1116" w:type="dxa"/>
            <w:gridSpan w:val="2"/>
            <w:tcBorders>
              <w:top w:val="nil"/>
              <w:left w:val="nil"/>
              <w:bottom w:val="single" w:color="000000" w:sz="4" w:space="0"/>
              <w:right w:val="single" w:color="000000" w:sz="4" w:space="0"/>
            </w:tcBorders>
            <w:vAlign w:val="center"/>
          </w:tcPr>
          <w:p>
            <w:pPr>
              <w:jc w:val="left"/>
              <w:rPr>
                <w:rFonts w:ascii="Times New Roman" w:hAnsi="Times New Roman"/>
                <w:color w:val="000000"/>
                <w:sz w:val="18"/>
                <w:szCs w:val="18"/>
              </w:rPr>
            </w:pPr>
            <w:r>
              <w:rPr>
                <w:rFonts w:hint="eastAsia" w:ascii="Times New Roman" w:hAnsi="Times New Roman"/>
                <w:color w:val="000000"/>
                <w:sz w:val="18"/>
                <w:szCs w:val="18"/>
              </w:rPr>
              <w:t>客观原因造成无法按原定工作计划对外公布我省第五次国民体质监测的公报。</w:t>
            </w:r>
          </w:p>
          <w:p>
            <w:pPr>
              <w:jc w:val="left"/>
              <w:rPr>
                <w:rFonts w:ascii="Times New Roman" w:hAnsi="Times New Roman" w:eastAsia="宋体"/>
                <w:color w:val="000000"/>
                <w:sz w:val="18"/>
                <w:szCs w:val="18"/>
              </w:rPr>
            </w:pPr>
            <w:r>
              <w:rPr>
                <w:rFonts w:hint="eastAsia" w:ascii="Times New Roman" w:hAnsi="Times New Roman"/>
                <w:color w:val="000000"/>
                <w:sz w:val="18"/>
                <w:szCs w:val="18"/>
              </w:rPr>
              <w:t>反兴奋剂肉食品检测数量与计划有差距。</w:t>
            </w:r>
          </w:p>
        </w:tc>
      </w:tr>
      <w:tr>
        <w:tblPrEx>
          <w:tblCellMar>
            <w:top w:w="0" w:type="dxa"/>
            <w:left w:w="108" w:type="dxa"/>
            <w:bottom w:w="0" w:type="dxa"/>
            <w:right w:w="108" w:type="dxa"/>
          </w:tblCellMar>
        </w:tblPrEx>
        <w:trPr>
          <w:trHeight w:val="1693" w:hRule="atLeast"/>
        </w:trPr>
        <w:tc>
          <w:tcPr>
            <w:tcW w:w="1951" w:type="dxa"/>
            <w:tcBorders>
              <w:top w:val="nil"/>
              <w:left w:val="single" w:color="000000" w:sz="4" w:space="0"/>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标</w:t>
            </w: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完成及时率</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年末前完成</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91.6%</w:t>
            </w:r>
            <w:r>
              <w:rPr>
                <w:rFonts w:hint="eastAsia" w:ascii="宋体" w:hAnsi="宋体"/>
                <w:color w:val="000000"/>
                <w:sz w:val="18"/>
                <w:szCs w:val="18"/>
              </w:rPr>
              <w:t>的工作及时时完成</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3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2.75</w:t>
            </w:r>
          </w:p>
        </w:tc>
        <w:tc>
          <w:tcPr>
            <w:tcW w:w="1116"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color w:val="000000"/>
                <w:sz w:val="18"/>
                <w:szCs w:val="18"/>
              </w:rPr>
            </w:pPr>
            <w:r>
              <w:rPr>
                <w:rFonts w:hint="eastAsia" w:ascii="Times New Roman" w:hAnsi="Times New Roman"/>
                <w:color w:val="000000"/>
                <w:sz w:val="18"/>
                <w:szCs w:val="18"/>
              </w:rPr>
              <w:t>我单位将在2022</w:t>
            </w:r>
            <w:r>
              <w:rPr>
                <w:rFonts w:hint="eastAsia" w:ascii="宋体" w:hAnsi="宋体"/>
                <w:color w:val="000000"/>
                <w:sz w:val="18"/>
                <w:szCs w:val="18"/>
              </w:rPr>
              <w:t>年内完成全省公报的公布工作。</w:t>
            </w: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质量达标率</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2</w:t>
            </w:r>
          </w:p>
        </w:tc>
        <w:tc>
          <w:tcPr>
            <w:tcW w:w="1116"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363"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nil"/>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重点工作办结率</w:t>
            </w:r>
          </w:p>
        </w:tc>
        <w:tc>
          <w:tcPr>
            <w:tcW w:w="1836"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w:t>
            </w:r>
          </w:p>
        </w:tc>
        <w:tc>
          <w:tcPr>
            <w:tcW w:w="1390"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2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2</w:t>
            </w:r>
          </w:p>
        </w:tc>
        <w:tc>
          <w:tcPr>
            <w:tcW w:w="1116"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629"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restart"/>
            <w:tcBorders>
              <w:top w:val="nil"/>
              <w:left w:val="nil"/>
              <w:bottom w:val="single" w:color="000000" w:sz="4" w:space="0"/>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效果（40</w:t>
            </w:r>
            <w:r>
              <w:rPr>
                <w:rFonts w:ascii="宋体" w:hAnsi="宋体"/>
                <w:b/>
                <w:bCs/>
                <w:color w:val="000000"/>
                <w:kern w:val="0"/>
                <w:sz w:val="18"/>
                <w:szCs w:val="18"/>
              </w:rPr>
              <w:t>分）</w:t>
            </w:r>
          </w:p>
        </w:tc>
        <w:tc>
          <w:tcPr>
            <w:tcW w:w="1770" w:type="dxa"/>
            <w:vMerge w:val="restart"/>
            <w:tcBorders>
              <w:top w:val="single" w:color="000000" w:sz="4" w:space="0"/>
              <w:left w:val="nil"/>
              <w:bottom w:val="nil"/>
              <w:right w:val="single" w:color="000000" w:sz="4" w:space="0"/>
            </w:tcBorders>
            <w:vAlign w:val="center"/>
          </w:tcPr>
          <w:p>
            <w:pPr>
              <w:widowControl/>
              <w:jc w:val="center"/>
              <w:textAlignment w:val="center"/>
              <w:rPr>
                <w:rFonts w:ascii="Times New Roman" w:hAnsi="Times New Roman" w:eastAsia="宋体"/>
                <w:b/>
                <w:bCs/>
                <w:color w:val="000000"/>
                <w:sz w:val="18"/>
                <w:szCs w:val="18"/>
              </w:rPr>
            </w:pPr>
            <w:r>
              <w:rPr>
                <w:rFonts w:ascii="Times New Roman" w:hAnsi="Times New Roman"/>
                <w:b/>
                <w:bCs/>
                <w:color w:val="000000"/>
                <w:kern w:val="0"/>
                <w:sz w:val="18"/>
                <w:szCs w:val="18"/>
              </w:rPr>
              <w:t>履职效益</w:t>
            </w: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经济效益指标</w:t>
            </w:r>
          </w:p>
        </w:tc>
        <w:tc>
          <w:tcPr>
            <w:tcW w:w="3226" w:type="dxa"/>
            <w:gridSpan w:val="3"/>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部门履行职责对经济发展所带来的直接或间接影响。</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10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10</w:t>
            </w:r>
          </w:p>
        </w:tc>
        <w:tc>
          <w:tcPr>
            <w:tcW w:w="1116"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629"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single" w:color="000000" w:sz="4" w:space="0"/>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社会效益指标</w:t>
            </w:r>
          </w:p>
        </w:tc>
        <w:tc>
          <w:tcPr>
            <w:tcW w:w="3226" w:type="dxa"/>
            <w:gridSpan w:val="3"/>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部门履行职责对社会发展所带来的直接或间接影响。</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10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10</w:t>
            </w:r>
          </w:p>
        </w:tc>
        <w:tc>
          <w:tcPr>
            <w:tcW w:w="1116"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629" w:hRule="atLeast"/>
        </w:trPr>
        <w:tc>
          <w:tcPr>
            <w:tcW w:w="1951" w:type="dxa"/>
            <w:tcBorders>
              <w:top w:val="nil"/>
              <w:left w:val="single" w:color="000000" w:sz="4" w:space="0"/>
              <w:bottom w:val="nil"/>
              <w:right w:val="single" w:color="000000" w:sz="4" w:space="0"/>
            </w:tcBorders>
            <w:noWrap/>
            <w:vAlign w:val="center"/>
          </w:tcPr>
          <w:p>
            <w:pPr>
              <w:rPr>
                <w:rFonts w:ascii="Times New Roman" w:hAnsi="Times New Roman" w:eastAsia="宋体"/>
                <w:color w:val="000000"/>
                <w:sz w:val="22"/>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single" w:color="000000" w:sz="4" w:space="0"/>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生态效益指标</w:t>
            </w:r>
          </w:p>
        </w:tc>
        <w:tc>
          <w:tcPr>
            <w:tcW w:w="3226" w:type="dxa"/>
            <w:gridSpan w:val="3"/>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部门履行职责对生态环境所带来的直接或间接影响。</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10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10</w:t>
            </w:r>
          </w:p>
        </w:tc>
        <w:tc>
          <w:tcPr>
            <w:tcW w:w="1116" w:type="dxa"/>
            <w:gridSpan w:val="2"/>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629" w:hRule="atLeast"/>
        </w:trPr>
        <w:tc>
          <w:tcPr>
            <w:tcW w:w="1951" w:type="dxa"/>
            <w:tcBorders>
              <w:top w:val="nil"/>
              <w:left w:val="single" w:color="000000" w:sz="4" w:space="0"/>
              <w:bottom w:val="single" w:color="000000" w:sz="4" w:space="0"/>
              <w:right w:val="single" w:color="000000" w:sz="4" w:space="0"/>
            </w:tcBorders>
            <w:vAlign w:val="center"/>
          </w:tcPr>
          <w:p>
            <w:pPr>
              <w:jc w:val="center"/>
              <w:rPr>
                <w:rFonts w:ascii="Times New Roman" w:hAnsi="Times New Roman" w:eastAsia="宋体"/>
                <w:b/>
                <w:bCs/>
                <w:color w:val="000000"/>
                <w:sz w:val="18"/>
                <w:szCs w:val="18"/>
              </w:rPr>
            </w:pPr>
          </w:p>
        </w:tc>
        <w:tc>
          <w:tcPr>
            <w:tcW w:w="1665" w:type="dxa"/>
            <w:vMerge w:val="continue"/>
            <w:tcBorders>
              <w:top w:val="nil"/>
              <w:left w:val="nil"/>
              <w:bottom w:val="single" w:color="000000" w:sz="4" w:space="0"/>
              <w:right w:val="single" w:color="000000" w:sz="4" w:space="0"/>
            </w:tcBorders>
            <w:vAlign w:val="center"/>
          </w:tcPr>
          <w:p>
            <w:pPr>
              <w:widowControl/>
              <w:jc w:val="left"/>
              <w:rPr>
                <w:rFonts w:ascii="Times New Roman" w:hAnsi="Times New Roman" w:eastAsia="宋体"/>
                <w:b/>
                <w:bCs/>
                <w:color w:val="000000"/>
                <w:sz w:val="18"/>
                <w:szCs w:val="18"/>
              </w:rPr>
            </w:pPr>
          </w:p>
        </w:tc>
        <w:tc>
          <w:tcPr>
            <w:tcW w:w="1770" w:type="dxa"/>
            <w:vMerge w:val="continue"/>
            <w:tcBorders>
              <w:top w:val="single" w:color="000000" w:sz="4" w:space="0"/>
              <w:left w:val="nil"/>
              <w:bottom w:val="nil"/>
              <w:right w:val="single" w:color="000000" w:sz="4" w:space="0"/>
            </w:tcBorders>
            <w:vAlign w:val="center"/>
          </w:tcPr>
          <w:p>
            <w:pPr>
              <w:widowControl/>
              <w:jc w:val="left"/>
              <w:rPr>
                <w:rFonts w:ascii="Times New Roman" w:hAnsi="Times New Roman" w:eastAsia="宋体"/>
                <w:b/>
                <w:bCs/>
                <w:color w:val="000000"/>
                <w:sz w:val="18"/>
                <w:szCs w:val="18"/>
              </w:rPr>
            </w:pPr>
          </w:p>
        </w:tc>
        <w:tc>
          <w:tcPr>
            <w:tcW w:w="2834" w:type="dxa"/>
            <w:gridSpan w:val="2"/>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社会公众或服务对象满意度</w:t>
            </w:r>
          </w:p>
        </w:tc>
        <w:tc>
          <w:tcPr>
            <w:tcW w:w="3226" w:type="dxa"/>
            <w:gridSpan w:val="3"/>
            <w:tcBorders>
              <w:top w:val="single" w:color="000000" w:sz="4" w:space="0"/>
              <w:left w:val="nil"/>
              <w:bottom w:val="single" w:color="000000" w:sz="4" w:space="0"/>
              <w:right w:val="single" w:color="000000" w:sz="4" w:space="0"/>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kern w:val="0"/>
                <w:sz w:val="18"/>
                <w:szCs w:val="18"/>
              </w:rPr>
              <w:t>社会公众或部门的服务对象对部门履职效果的满意程度。</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20"/>
                <w:szCs w:val="20"/>
              </w:rPr>
            </w:pPr>
            <w:r>
              <w:rPr>
                <w:rFonts w:ascii="Times New Roman" w:hAnsi="Times New Roman"/>
                <w:color w:val="000000"/>
                <w:kern w:val="0"/>
                <w:sz w:val="20"/>
                <w:szCs w:val="20"/>
              </w:rPr>
              <w:t xml:space="preserve">10 </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10</w:t>
            </w:r>
          </w:p>
        </w:tc>
        <w:tc>
          <w:tcPr>
            <w:tcW w:w="1116" w:type="dxa"/>
            <w:gridSpan w:val="2"/>
            <w:tcBorders>
              <w:top w:val="single" w:color="000000" w:sz="4" w:space="0"/>
              <w:left w:val="nil"/>
              <w:bottom w:val="single" w:color="000000" w:sz="4" w:space="0"/>
              <w:right w:val="single" w:color="000000" w:sz="4" w:space="0"/>
            </w:tcBorders>
            <w:vAlign w:val="center"/>
          </w:tcPr>
          <w:p>
            <w:pPr>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420" w:hRule="atLeast"/>
        </w:trPr>
        <w:tc>
          <w:tcPr>
            <w:tcW w:w="11446"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总分</w:t>
            </w:r>
          </w:p>
        </w:tc>
        <w:tc>
          <w:tcPr>
            <w:tcW w:w="67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Times New Roman" w:hAnsi="Times New Roman" w:eastAsia="宋体"/>
                <w:color w:val="000000"/>
                <w:sz w:val="18"/>
                <w:szCs w:val="18"/>
              </w:rPr>
            </w:pPr>
            <w:r>
              <w:rPr>
                <w:rFonts w:ascii="Times New Roman" w:hAnsi="Times New Roman"/>
                <w:color w:val="000000"/>
                <w:kern w:val="0"/>
                <w:sz w:val="18"/>
                <w:szCs w:val="18"/>
              </w:rPr>
              <w:t>100</w:t>
            </w:r>
          </w:p>
        </w:tc>
        <w:tc>
          <w:tcPr>
            <w:tcW w:w="911" w:type="dxa"/>
            <w:tcBorders>
              <w:top w:val="single" w:color="000000" w:sz="4" w:space="0"/>
              <w:left w:val="nil"/>
              <w:bottom w:val="single" w:color="000000" w:sz="4" w:space="0"/>
              <w:right w:val="single" w:color="000000" w:sz="4" w:space="0"/>
            </w:tcBorders>
            <w:vAlign w:val="center"/>
          </w:tcPr>
          <w:p>
            <w:pPr>
              <w:jc w:val="center"/>
              <w:rPr>
                <w:rFonts w:ascii="Times New Roman" w:hAnsi="Times New Roman" w:eastAsia="宋体"/>
                <w:color w:val="000000"/>
                <w:sz w:val="18"/>
                <w:szCs w:val="18"/>
              </w:rPr>
            </w:pPr>
            <w:r>
              <w:rPr>
                <w:rFonts w:hint="eastAsia" w:ascii="Times New Roman" w:hAnsi="Times New Roman"/>
                <w:color w:val="000000"/>
                <w:sz w:val="18"/>
                <w:szCs w:val="18"/>
              </w:rPr>
              <w:t>99.5</w:t>
            </w:r>
          </w:p>
        </w:tc>
        <w:tc>
          <w:tcPr>
            <w:tcW w:w="1116" w:type="dxa"/>
            <w:gridSpan w:val="2"/>
            <w:tcBorders>
              <w:top w:val="single" w:color="000000" w:sz="4" w:space="0"/>
              <w:left w:val="nil"/>
              <w:bottom w:val="single" w:color="000000" w:sz="4" w:space="0"/>
              <w:right w:val="single" w:color="000000" w:sz="4" w:space="0"/>
            </w:tcBorders>
            <w:vAlign w:val="center"/>
          </w:tcPr>
          <w:p>
            <w:pPr>
              <w:jc w:val="left"/>
              <w:rPr>
                <w:rFonts w:ascii="Times New Roman" w:hAnsi="Times New Roman" w:eastAsia="宋体"/>
                <w:color w:val="000000"/>
                <w:sz w:val="18"/>
                <w:szCs w:val="18"/>
              </w:rPr>
            </w:pPr>
          </w:p>
        </w:tc>
      </w:tr>
      <w:tr>
        <w:tblPrEx>
          <w:tblCellMar>
            <w:top w:w="0" w:type="dxa"/>
            <w:left w:w="108" w:type="dxa"/>
            <w:bottom w:w="0" w:type="dxa"/>
            <w:right w:w="108" w:type="dxa"/>
          </w:tblCellMar>
        </w:tblPrEx>
        <w:trPr>
          <w:trHeight w:val="787" w:hRule="atLeast"/>
        </w:trPr>
        <w:tc>
          <w:tcPr>
            <w:tcW w:w="14148" w:type="dxa"/>
            <w:gridSpan w:val="12"/>
            <w:tcBorders>
              <w:top w:val="nil"/>
              <w:left w:val="nil"/>
              <w:bottom w:val="nil"/>
              <w:right w:val="nil"/>
            </w:tcBorders>
            <w:vAlign w:val="center"/>
          </w:tcPr>
          <w:p>
            <w:pPr>
              <w:widowControl/>
              <w:jc w:val="left"/>
              <w:textAlignment w:val="center"/>
              <w:rPr>
                <w:rFonts w:ascii="Times New Roman" w:hAnsi="Times New Roman" w:eastAsia="宋体"/>
                <w:color w:val="000000"/>
                <w:sz w:val="18"/>
                <w:szCs w:val="18"/>
              </w:rPr>
            </w:pPr>
            <w:r>
              <w:rPr>
                <w:rFonts w:ascii="Times New Roman" w:hAnsi="Times New Roman"/>
                <w:color w:val="000000"/>
                <w:sz w:val="18"/>
                <w:szCs w:val="18"/>
              </w:rPr>
              <w:t xml:space="preserve">填表人： </w:t>
            </w:r>
            <w:r>
              <w:rPr>
                <w:rFonts w:hint="eastAsia" w:ascii="Times New Roman" w:hAnsi="Times New Roman"/>
                <w:color w:val="000000"/>
                <w:sz w:val="18"/>
                <w:szCs w:val="18"/>
              </w:rPr>
              <w:t>谢娜</w:t>
            </w:r>
            <w:r>
              <w:rPr>
                <w:rFonts w:ascii="Times New Roman" w:hAnsi="Times New Roman"/>
                <w:color w:val="000000"/>
                <w:sz w:val="18"/>
                <w:szCs w:val="18"/>
              </w:rPr>
              <w:t xml:space="preserve">                         填报日期：</w:t>
            </w:r>
            <w:r>
              <w:rPr>
                <w:rFonts w:hint="eastAsia" w:ascii="Times New Roman" w:hAnsi="Times New Roman"/>
                <w:color w:val="000000"/>
                <w:sz w:val="18"/>
                <w:szCs w:val="18"/>
              </w:rPr>
              <w:t>2022</w:t>
            </w:r>
            <w:r>
              <w:rPr>
                <w:rFonts w:ascii="Times New Roman" w:hAnsi="Times New Roman"/>
                <w:color w:val="000000"/>
                <w:sz w:val="18"/>
                <w:szCs w:val="18"/>
              </w:rPr>
              <w:t>年</w:t>
            </w:r>
            <w:r>
              <w:rPr>
                <w:rFonts w:hint="eastAsia" w:ascii="Times New Roman" w:hAnsi="Times New Roman"/>
                <w:color w:val="000000"/>
                <w:sz w:val="18"/>
                <w:szCs w:val="18"/>
              </w:rPr>
              <w:t>4</w:t>
            </w:r>
            <w:r>
              <w:rPr>
                <w:rFonts w:ascii="Times New Roman" w:hAnsi="Times New Roman"/>
                <w:color w:val="000000"/>
                <w:sz w:val="18"/>
                <w:szCs w:val="18"/>
              </w:rPr>
              <w:t xml:space="preserve"> 月</w:t>
            </w:r>
            <w:r>
              <w:rPr>
                <w:rFonts w:hint="eastAsia" w:ascii="Times New Roman" w:hAnsi="Times New Roman"/>
                <w:color w:val="000000"/>
                <w:sz w:val="18"/>
                <w:szCs w:val="18"/>
              </w:rPr>
              <w:t>12</w:t>
            </w:r>
            <w:r>
              <w:rPr>
                <w:rFonts w:ascii="Times New Roman" w:hAnsi="Times New Roman"/>
                <w:color w:val="000000"/>
                <w:sz w:val="18"/>
                <w:szCs w:val="18"/>
              </w:rPr>
              <w:t>日               联系电话：</w:t>
            </w:r>
            <w:r>
              <w:rPr>
                <w:rFonts w:hint="eastAsia" w:ascii="Times New Roman" w:hAnsi="Times New Roman"/>
                <w:color w:val="000000"/>
                <w:sz w:val="18"/>
                <w:szCs w:val="18"/>
              </w:rPr>
              <w:t>0731-84555271</w:t>
            </w:r>
            <w:r>
              <w:rPr>
                <w:rFonts w:ascii="Times New Roman" w:hAnsi="Times New Roman"/>
                <w:color w:val="000000"/>
                <w:sz w:val="18"/>
                <w:szCs w:val="18"/>
              </w:rPr>
              <w:t xml:space="preserve">         </w:t>
            </w:r>
            <w:r>
              <w:rPr>
                <w:rFonts w:hint="eastAsia" w:ascii="Times New Roman" w:hAnsi="Times New Roman"/>
                <w:color w:val="000000"/>
                <w:sz w:val="18"/>
                <w:szCs w:val="18"/>
              </w:rPr>
              <w:t xml:space="preserve">          </w:t>
            </w:r>
            <w:r>
              <w:rPr>
                <w:rFonts w:ascii="Times New Roman" w:hAnsi="Times New Roman"/>
                <w:color w:val="000000"/>
                <w:sz w:val="18"/>
                <w:szCs w:val="18"/>
              </w:rPr>
              <w:t>单位负责人签字：</w:t>
            </w:r>
            <w:r>
              <w:rPr>
                <w:rFonts w:hint="eastAsia" w:ascii="Times New Roman" w:hAnsi="Times New Roman"/>
                <w:color w:val="000000"/>
                <w:sz w:val="18"/>
                <w:szCs w:val="18"/>
              </w:rPr>
              <w:t>梅军</w:t>
            </w:r>
          </w:p>
        </w:tc>
      </w:tr>
    </w:tbl>
    <w:p>
      <w:pPr>
        <w:rPr>
          <w:rFonts w:ascii="Calibri" w:hAnsi="Calibri" w:cs="Times New Roman"/>
          <w:szCs w:val="21"/>
        </w:rPr>
      </w:pPr>
      <w:r>
        <w:t xml:space="preserve"> </w:t>
      </w:r>
    </w:p>
    <w:p>
      <w:pPr>
        <w:ind w:firstLine="640" w:firstLineChars="200"/>
        <w:jc w:val="left"/>
        <w:rPr>
          <w:rFonts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p>
    <w:p>
      <w:pPr>
        <w:ind w:firstLine="640" w:firstLineChars="200"/>
        <w:jc w:val="left"/>
        <w:rPr>
          <w:rFonts w:hint="eastAsia" w:cs="黑体" w:asciiTheme="minorEastAsia" w:hAnsiTheme="minorEastAsia"/>
          <w:color w:val="000000"/>
          <w:kern w:val="0"/>
          <w:sz w:val="32"/>
          <w:szCs w:val="32"/>
        </w:rPr>
      </w:pPr>
    </w:p>
    <w:sectPr>
      <w:pgSz w:w="16838" w:h="11906" w:orient="landscape"/>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0579D"/>
    <w:multiLevelType w:val="multilevel"/>
    <w:tmpl w:val="1810579D"/>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1C87DDD"/>
    <w:multiLevelType w:val="multilevel"/>
    <w:tmpl w:val="31C87DDD"/>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F77D4C"/>
    <w:multiLevelType w:val="multilevel"/>
    <w:tmpl w:val="6CF77D4C"/>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JjZDg3OWQ3NTZjZWU0ZjBlODA3MTZhYjRmZjg4MWIifQ=="/>
  </w:docVars>
  <w:rsids>
    <w:rsidRoot w:val="004506F9"/>
    <w:rsid w:val="0002229B"/>
    <w:rsid w:val="000273BD"/>
    <w:rsid w:val="000415B7"/>
    <w:rsid w:val="00041E3F"/>
    <w:rsid w:val="00055DAA"/>
    <w:rsid w:val="00061F7B"/>
    <w:rsid w:val="000658A3"/>
    <w:rsid w:val="00074155"/>
    <w:rsid w:val="000873EF"/>
    <w:rsid w:val="000A3F69"/>
    <w:rsid w:val="000A47AD"/>
    <w:rsid w:val="000C54E1"/>
    <w:rsid w:val="00103957"/>
    <w:rsid w:val="00121A67"/>
    <w:rsid w:val="00124A1F"/>
    <w:rsid w:val="00144057"/>
    <w:rsid w:val="00152C6D"/>
    <w:rsid w:val="00162D39"/>
    <w:rsid w:val="001678BD"/>
    <w:rsid w:val="00175E4D"/>
    <w:rsid w:val="001807C0"/>
    <w:rsid w:val="00182373"/>
    <w:rsid w:val="001A0A5C"/>
    <w:rsid w:val="001A67DB"/>
    <w:rsid w:val="001C3C29"/>
    <w:rsid w:val="001D1E2D"/>
    <w:rsid w:val="001D51E5"/>
    <w:rsid w:val="001E080D"/>
    <w:rsid w:val="001E53D0"/>
    <w:rsid w:val="001F0C3B"/>
    <w:rsid w:val="00202C14"/>
    <w:rsid w:val="00202C82"/>
    <w:rsid w:val="00214427"/>
    <w:rsid w:val="00226CB7"/>
    <w:rsid w:val="00264552"/>
    <w:rsid w:val="00264EF9"/>
    <w:rsid w:val="00265724"/>
    <w:rsid w:val="0027426B"/>
    <w:rsid w:val="002A3D24"/>
    <w:rsid w:val="002A7AA0"/>
    <w:rsid w:val="002E0A30"/>
    <w:rsid w:val="00312392"/>
    <w:rsid w:val="003130C4"/>
    <w:rsid w:val="00316C4B"/>
    <w:rsid w:val="0032192B"/>
    <w:rsid w:val="00337598"/>
    <w:rsid w:val="003479BD"/>
    <w:rsid w:val="00364BFC"/>
    <w:rsid w:val="0037197D"/>
    <w:rsid w:val="003768D5"/>
    <w:rsid w:val="00380B9F"/>
    <w:rsid w:val="00381314"/>
    <w:rsid w:val="003B752D"/>
    <w:rsid w:val="003C1B66"/>
    <w:rsid w:val="003C4197"/>
    <w:rsid w:val="003C47E6"/>
    <w:rsid w:val="003C4FC2"/>
    <w:rsid w:val="003E2331"/>
    <w:rsid w:val="0040260E"/>
    <w:rsid w:val="00416E61"/>
    <w:rsid w:val="0042790C"/>
    <w:rsid w:val="00447637"/>
    <w:rsid w:val="004506F9"/>
    <w:rsid w:val="00465267"/>
    <w:rsid w:val="004717A2"/>
    <w:rsid w:val="00473DF3"/>
    <w:rsid w:val="00487911"/>
    <w:rsid w:val="00491741"/>
    <w:rsid w:val="004A3FEE"/>
    <w:rsid w:val="004B0CEE"/>
    <w:rsid w:val="004C074C"/>
    <w:rsid w:val="004D12E8"/>
    <w:rsid w:val="00500E5F"/>
    <w:rsid w:val="005122EF"/>
    <w:rsid w:val="0051441A"/>
    <w:rsid w:val="00517C33"/>
    <w:rsid w:val="00517D5F"/>
    <w:rsid w:val="0052091E"/>
    <w:rsid w:val="00521AF2"/>
    <w:rsid w:val="00523644"/>
    <w:rsid w:val="0054069E"/>
    <w:rsid w:val="00544866"/>
    <w:rsid w:val="00557D2C"/>
    <w:rsid w:val="005767CC"/>
    <w:rsid w:val="00590D9F"/>
    <w:rsid w:val="005936B9"/>
    <w:rsid w:val="00595D26"/>
    <w:rsid w:val="005A74E6"/>
    <w:rsid w:val="005B404E"/>
    <w:rsid w:val="005D4D55"/>
    <w:rsid w:val="005E2CFB"/>
    <w:rsid w:val="005F2103"/>
    <w:rsid w:val="005F3D1C"/>
    <w:rsid w:val="0062378F"/>
    <w:rsid w:val="00641842"/>
    <w:rsid w:val="00651EEC"/>
    <w:rsid w:val="00673288"/>
    <w:rsid w:val="00686673"/>
    <w:rsid w:val="00687045"/>
    <w:rsid w:val="00691E8C"/>
    <w:rsid w:val="006A22C4"/>
    <w:rsid w:val="006A348B"/>
    <w:rsid w:val="006A351B"/>
    <w:rsid w:val="006B0422"/>
    <w:rsid w:val="006C1B53"/>
    <w:rsid w:val="006D7730"/>
    <w:rsid w:val="006E5284"/>
    <w:rsid w:val="006E76E1"/>
    <w:rsid w:val="006F1179"/>
    <w:rsid w:val="006F32C6"/>
    <w:rsid w:val="006F3EB5"/>
    <w:rsid w:val="00702E34"/>
    <w:rsid w:val="00704395"/>
    <w:rsid w:val="0070441E"/>
    <w:rsid w:val="00710FE7"/>
    <w:rsid w:val="00717621"/>
    <w:rsid w:val="00720FF1"/>
    <w:rsid w:val="00727A53"/>
    <w:rsid w:val="007556C9"/>
    <w:rsid w:val="00763AD1"/>
    <w:rsid w:val="00771477"/>
    <w:rsid w:val="00787B42"/>
    <w:rsid w:val="007A3B8E"/>
    <w:rsid w:val="007C4539"/>
    <w:rsid w:val="007C606D"/>
    <w:rsid w:val="007C64B9"/>
    <w:rsid w:val="007F0090"/>
    <w:rsid w:val="007F3657"/>
    <w:rsid w:val="00800BA3"/>
    <w:rsid w:val="00812ED5"/>
    <w:rsid w:val="008277D9"/>
    <w:rsid w:val="0084478C"/>
    <w:rsid w:val="0086638C"/>
    <w:rsid w:val="008871EF"/>
    <w:rsid w:val="008A3E8D"/>
    <w:rsid w:val="009237C4"/>
    <w:rsid w:val="00944C48"/>
    <w:rsid w:val="0094668A"/>
    <w:rsid w:val="00950252"/>
    <w:rsid w:val="00967F5D"/>
    <w:rsid w:val="00987555"/>
    <w:rsid w:val="009A0F95"/>
    <w:rsid w:val="009B3ADF"/>
    <w:rsid w:val="009C3B52"/>
    <w:rsid w:val="009E6817"/>
    <w:rsid w:val="009E6E9A"/>
    <w:rsid w:val="00A01D2B"/>
    <w:rsid w:val="00A16B9F"/>
    <w:rsid w:val="00A42218"/>
    <w:rsid w:val="00A70249"/>
    <w:rsid w:val="00A70B02"/>
    <w:rsid w:val="00A71D9F"/>
    <w:rsid w:val="00A82A1D"/>
    <w:rsid w:val="00A92E9F"/>
    <w:rsid w:val="00AF38BF"/>
    <w:rsid w:val="00B1465C"/>
    <w:rsid w:val="00B30DD3"/>
    <w:rsid w:val="00B33BEA"/>
    <w:rsid w:val="00B421A9"/>
    <w:rsid w:val="00B57C9F"/>
    <w:rsid w:val="00B63572"/>
    <w:rsid w:val="00B845B3"/>
    <w:rsid w:val="00B85D8B"/>
    <w:rsid w:val="00B9186A"/>
    <w:rsid w:val="00BB4A40"/>
    <w:rsid w:val="00BC2DD5"/>
    <w:rsid w:val="00BD65F5"/>
    <w:rsid w:val="00BD6C3E"/>
    <w:rsid w:val="00BE3674"/>
    <w:rsid w:val="00C10681"/>
    <w:rsid w:val="00C3049A"/>
    <w:rsid w:val="00C31B1E"/>
    <w:rsid w:val="00C77645"/>
    <w:rsid w:val="00CE04C3"/>
    <w:rsid w:val="00CE76A0"/>
    <w:rsid w:val="00D148C6"/>
    <w:rsid w:val="00D17A8A"/>
    <w:rsid w:val="00D415BA"/>
    <w:rsid w:val="00D504E0"/>
    <w:rsid w:val="00D63780"/>
    <w:rsid w:val="00D644EE"/>
    <w:rsid w:val="00D75489"/>
    <w:rsid w:val="00D80D6D"/>
    <w:rsid w:val="00DB73B7"/>
    <w:rsid w:val="00DD06FF"/>
    <w:rsid w:val="00DD5FE9"/>
    <w:rsid w:val="00E00C7A"/>
    <w:rsid w:val="00E03AE5"/>
    <w:rsid w:val="00E209CF"/>
    <w:rsid w:val="00E37D6C"/>
    <w:rsid w:val="00E51E78"/>
    <w:rsid w:val="00E55B68"/>
    <w:rsid w:val="00E67BE6"/>
    <w:rsid w:val="00E8683C"/>
    <w:rsid w:val="00EA2B72"/>
    <w:rsid w:val="00EF6BB1"/>
    <w:rsid w:val="00F044B4"/>
    <w:rsid w:val="00F74360"/>
    <w:rsid w:val="00FB462F"/>
    <w:rsid w:val="00FE16FA"/>
    <w:rsid w:val="00FE328A"/>
    <w:rsid w:val="00FE6269"/>
    <w:rsid w:val="00FF5CD6"/>
    <w:rsid w:val="022306C8"/>
    <w:rsid w:val="03A74512"/>
    <w:rsid w:val="05B84E9D"/>
    <w:rsid w:val="07D473DD"/>
    <w:rsid w:val="09F91840"/>
    <w:rsid w:val="0A595E3B"/>
    <w:rsid w:val="0EC73CBB"/>
    <w:rsid w:val="0FE953B7"/>
    <w:rsid w:val="12AA1929"/>
    <w:rsid w:val="141554C8"/>
    <w:rsid w:val="14F670A8"/>
    <w:rsid w:val="159B7C4F"/>
    <w:rsid w:val="15D8055B"/>
    <w:rsid w:val="19461C80"/>
    <w:rsid w:val="1A065A80"/>
    <w:rsid w:val="1A5C69F5"/>
    <w:rsid w:val="1E1812A1"/>
    <w:rsid w:val="1FAF4A23"/>
    <w:rsid w:val="210670D2"/>
    <w:rsid w:val="22C407E5"/>
    <w:rsid w:val="25985A44"/>
    <w:rsid w:val="26025181"/>
    <w:rsid w:val="27AE2D28"/>
    <w:rsid w:val="29FC26D9"/>
    <w:rsid w:val="2CB52F4D"/>
    <w:rsid w:val="2E9D6661"/>
    <w:rsid w:val="31FB3AF8"/>
    <w:rsid w:val="32321DDA"/>
    <w:rsid w:val="33D91F25"/>
    <w:rsid w:val="379E117D"/>
    <w:rsid w:val="379E1835"/>
    <w:rsid w:val="39705767"/>
    <w:rsid w:val="3F187A72"/>
    <w:rsid w:val="4281555E"/>
    <w:rsid w:val="437D4206"/>
    <w:rsid w:val="47B03970"/>
    <w:rsid w:val="4CB24DE4"/>
    <w:rsid w:val="4CC14A01"/>
    <w:rsid w:val="4DFC6FAF"/>
    <w:rsid w:val="4FF56916"/>
    <w:rsid w:val="501272D7"/>
    <w:rsid w:val="50665E13"/>
    <w:rsid w:val="50E7376D"/>
    <w:rsid w:val="510F4FD7"/>
    <w:rsid w:val="52240677"/>
    <w:rsid w:val="53FA0CB1"/>
    <w:rsid w:val="54052D05"/>
    <w:rsid w:val="564B0BE8"/>
    <w:rsid w:val="57FD0860"/>
    <w:rsid w:val="59E37D2E"/>
    <w:rsid w:val="59E42781"/>
    <w:rsid w:val="5B5542F0"/>
    <w:rsid w:val="5C384E7D"/>
    <w:rsid w:val="5C817AB3"/>
    <w:rsid w:val="614E6DC2"/>
    <w:rsid w:val="61652DEB"/>
    <w:rsid w:val="67636E72"/>
    <w:rsid w:val="69530348"/>
    <w:rsid w:val="6ABA1153"/>
    <w:rsid w:val="6BF42761"/>
    <w:rsid w:val="6C924135"/>
    <w:rsid w:val="6CD84BED"/>
    <w:rsid w:val="6E3D1FD3"/>
    <w:rsid w:val="6FD3723D"/>
    <w:rsid w:val="6FF375E1"/>
    <w:rsid w:val="72335B6B"/>
    <w:rsid w:val="74D55507"/>
    <w:rsid w:val="74E27C24"/>
    <w:rsid w:val="76B996B0"/>
    <w:rsid w:val="77B63ABA"/>
    <w:rsid w:val="77CD2D12"/>
    <w:rsid w:val="7AC77766"/>
    <w:rsid w:val="7AD718AD"/>
    <w:rsid w:val="7E5356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 w:type="paragraph" w:customStyle="1" w:styleId="14">
    <w:name w:val="List Paragraph1"/>
    <w:basedOn w:val="1"/>
    <w:qFormat/>
    <w:uiPriority w:val="0"/>
    <w:pPr>
      <w:ind w:firstLine="420" w:firstLineChars="200"/>
    </w:pPr>
    <w:rPr>
      <w:rFonts w:ascii="Calibri" w:hAnsi="Calibri" w:eastAsia="宋体" w:cs="宋体"/>
      <w:szCs w:val="21"/>
    </w:rPr>
  </w:style>
  <w:style w:type="paragraph" w:customStyle="1" w:styleId="15">
    <w:name w:val="_Style 3"/>
    <w:basedOn w:val="1"/>
    <w:qFormat/>
    <w:uiPriority w:val="0"/>
    <w:pPr>
      <w:ind w:firstLine="420" w:firstLineChars="200"/>
    </w:pPr>
    <w:rPr>
      <w:rFonts w:ascii="Calibri" w:hAnsi="Calibri" w:eastAsia="宋体" w:cs="宋体"/>
      <w:szCs w:val="21"/>
    </w:rPr>
  </w:style>
  <w:style w:type="character" w:customStyle="1" w:styleId="16">
    <w:name w:val="15"/>
    <w:basedOn w:val="8"/>
    <w:qFormat/>
    <w:uiPriority w:val="0"/>
    <w:rPr>
      <w:rFonts w:hint="default" w:ascii="Arial" w:hAnsi="Arial" w:eastAsia="黑体" w:cs="Arial"/>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46</Pages>
  <Words>15678</Words>
  <Characters>20567</Characters>
  <Lines>180</Lines>
  <Paragraphs>50</Paragraphs>
  <TotalTime>0</TotalTime>
  <ScaleCrop>false</ScaleCrop>
  <LinksUpToDate>false</LinksUpToDate>
  <CharactersWithSpaces>21755</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2020-07-02T10:32:00Z</dcterms:created>
  <dc:creator>李航 null</dc:creator>
  <cp:lastModifiedBy>kylin</cp:lastModifiedBy>
  <cp:lastPrinted>2022-07-27T20:55:00Z</cp:lastPrinted>
  <dcterms:modified xsi:type="dcterms:W3CDTF">2023-10-09T11:03:16Z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0D12A7F2B41E49A69879C885A8DA79B1</vt:lpwstr>
  </property>
</Properties>
</file>